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b/>
          <w:b/>
        </w:rPr>
      </w:pPr>
      <w:r>
        <w:rPr>
          <w:b/>
        </w:rPr>
        <w:t>Tájékoztató</w:t>
      </w:r>
    </w:p>
    <w:p>
      <w:pPr>
        <w:pStyle w:val="Normal"/>
        <w:jc w:val="center"/>
        <w:rPr/>
      </w:pPr>
      <w:r>
        <w:rPr/>
        <w:t>a tanulmányi versenyek feladatlapjaival kapcsolatos szerzői jogokról és azok védelméről,</w:t>
      </w:r>
    </w:p>
    <w:p>
      <w:pPr>
        <w:pStyle w:val="Normal"/>
        <w:jc w:val="center"/>
        <w:rPr/>
      </w:pPr>
      <w:r>
        <w:rPr/>
        <w:t>az Országos Középiskolai Tanulmányi Versenyek versenybizottságainak a feladatsor-készítő bizottságok munkájához</w:t>
      </w:r>
    </w:p>
    <w:p>
      <w:pPr>
        <w:pStyle w:val="Normal"/>
        <w:rPr/>
      </w:pPr>
      <w:r>
        <w:rPr/>
      </w:r>
    </w:p>
    <w:p>
      <w:pPr>
        <w:pStyle w:val="Normal"/>
        <w:jc w:val="both"/>
        <w:rPr/>
      </w:pPr>
      <w:r>
        <w:rPr/>
        <w:t>A szerzői jogról szóló 1999. évi LXXVI. törvény (a továbbiakban: Sztv.) széles körben, tehát nem taxatíve, hanem csak példálózó jelleggel határozza meg a szerzői jogi védelem alá eső alkotások körét. Szerzői jogi védelem alá esik minden olyan alkotás, amely egyéni, eredeti jelleggel bír, és amely a szerző szellemi tevékenységéből ered. Így szerzői jogi védelem illeti meg többek között a zenei, irodalmi műveket, a televíziójátékot, a szoftvert, ezek átdolgozását, feldolgozását, fordítását, ha annak eredeti, egyéni jellege van, és akár egy egyedileg és speciális szempontok alapján összeállított feladatsort is.</w:t>
      </w:r>
    </w:p>
    <w:p>
      <w:pPr>
        <w:pStyle w:val="Normal"/>
        <w:jc w:val="both"/>
        <w:rPr/>
      </w:pPr>
      <w:r>
        <w:rPr/>
      </w:r>
    </w:p>
    <w:p>
      <w:pPr>
        <w:pStyle w:val="Normal"/>
        <w:jc w:val="both"/>
        <w:rPr/>
      </w:pPr>
      <w:r>
        <w:rPr/>
        <w:t>A szerzői jognak személyhez fűződő és vagyoni aspektusai vannak.</w:t>
      </w:r>
    </w:p>
    <w:p>
      <w:pPr>
        <w:pStyle w:val="Normal"/>
        <w:jc w:val="both"/>
        <w:rPr/>
      </w:pPr>
      <w:r>
        <w:rPr/>
        <w:t>Személyhez fűződő jogok: a mű nyilvánosságra hozatala, a név feltüntetése, valamint a mű egységének védelme.</w:t>
      </w:r>
    </w:p>
    <w:p>
      <w:pPr>
        <w:pStyle w:val="Normal"/>
        <w:jc w:val="both"/>
        <w:rPr/>
      </w:pPr>
      <w:r>
        <w:rPr/>
        <w:t>Vagyoni jogok: többszörözés, terjesztés, nyilvános előadás joga, a mű nyilvánossághoz való közvetítésének joga, átdolgozás joga.</w:t>
      </w:r>
    </w:p>
    <w:p>
      <w:pPr>
        <w:pStyle w:val="Normal"/>
        <w:jc w:val="both"/>
        <w:rPr/>
      </w:pPr>
      <w:r>
        <w:rPr/>
      </w:r>
    </w:p>
    <w:p>
      <w:pPr>
        <w:pStyle w:val="Normal"/>
        <w:jc w:val="both"/>
        <w:rPr/>
      </w:pPr>
      <w:r>
        <w:rPr/>
        <w:t>Vannak olyan esetek, amelyekben a szerzői jogi védelem alatt álló alkotások felhasználása díjtalan, és ahhoz a szerző engedélye sem szükséges (szabad felhasználás). Csak a nyilvánosságra hozott művek használhatók fel szabadon az Sztv. rendelkezéseinek megfelelően (Sztv. 33. § (1) bekezdés). A szabad felhasználás természetesen csak olyan módon és mértékben megengedett, amennyiben az nem sérelmes a mű eredeti felhasználására, és indokolatlanul nem károsítja a szerző érdekeit, továbbá amennyiben megfelel a tisztesség követelményeinek és nem irányul a szabad felhasználás rendeltetésével össze nem férő célra (Sztv. 33. § (2) bek.).</w:t>
      </w:r>
    </w:p>
    <w:p>
      <w:pPr>
        <w:pStyle w:val="Normal"/>
        <w:jc w:val="both"/>
        <w:rPr/>
      </w:pPr>
      <w:r>
        <w:rPr/>
      </w:r>
    </w:p>
    <w:p>
      <w:pPr>
        <w:pStyle w:val="Normal"/>
        <w:jc w:val="both"/>
        <w:rPr/>
      </w:pPr>
      <w:r>
        <w:rPr/>
        <w:t>Az Sztv. 33. § (4) bekezdése értelmében „az iskolai oktatás célját szolgálja a felhasználás, ha az az óvodai nevelésben, az általános iskolai, középfokú iskolai oktatásban, az alapfokú művészeti iskolai oktatásban vagy a felsőoktatásról szóló törvény hatálya alá tartozó felsőfokú oktatásban a tantervnek, illetve a képzési követelményeknek megfelelően valósul meg”. (Pl. középiskolai dolgozatban fel kell ismerni, hogy melyik műből idéztek, ebben az esetben az idézés szabad felhasználásnak minősül, mert iskolai oktatási célokat szolgál). Az iskolai oktatási célú felhasználás szabad felhasználásnak minősül.</w:t>
      </w:r>
    </w:p>
    <w:p>
      <w:pPr>
        <w:pStyle w:val="Normal"/>
        <w:jc w:val="both"/>
        <w:rPr/>
      </w:pPr>
      <w:r>
        <w:rPr/>
      </w:r>
    </w:p>
    <w:p>
      <w:pPr>
        <w:pStyle w:val="Normal"/>
        <w:jc w:val="both"/>
        <w:rPr/>
      </w:pPr>
      <w:r>
        <w:rPr/>
        <w:t>Az Oktatási Hivatal értelmezése szerint a feladatlapok összeállítása során igénybe vett, szerzői jogi védelem alatt álló alkotások felhasználása a szabad felhasználás körébe tartozik, mivel a 2018/2019. tanév rendjéről szóló 13/2018 (VI. 14.) EMMI rendelet külön nevesíti a tanulmányi versenyeket, amelyek részei lehetnek a képzési követelményeknek, így az ott felhasznált alkotások iskolai oktatási célokat szolgálnak.</w:t>
      </w:r>
    </w:p>
    <w:p>
      <w:pPr>
        <w:pStyle w:val="Normal"/>
        <w:jc w:val="both"/>
        <w:rPr/>
      </w:pPr>
      <w:r>
        <w:rPr/>
      </w:r>
    </w:p>
    <w:p>
      <w:pPr>
        <w:pStyle w:val="Normal"/>
        <w:jc w:val="both"/>
        <w:rPr/>
      </w:pPr>
      <w:r>
        <w:rPr>
          <w:color w:val="000000"/>
        </w:rPr>
        <w:t xml:space="preserve">Amennyiben a </w:t>
      </w:r>
      <w:r>
        <w:rPr/>
        <w:t xml:space="preserve">versenyfeladatokban </w:t>
      </w:r>
      <w:r>
        <w:rPr>
          <w:color w:val="000000"/>
        </w:rPr>
        <w:t xml:space="preserve">szerzői jogi védelem alatt álló műből származó idézet szerepel, </w:t>
      </w:r>
      <w:r>
        <w:rPr>
          <w:bCs/>
        </w:rPr>
        <w:t xml:space="preserve">az Sztv. 33-34. §-ai értelmében </w:t>
      </w:r>
      <w:r>
        <w:rPr>
          <w:color w:val="000000"/>
        </w:rPr>
        <w:t xml:space="preserve">az idézet mellett a feladatsorban minden </w:t>
      </w:r>
      <w:r>
        <w:rPr>
          <w:bCs/>
        </w:rPr>
        <w:t xml:space="preserve">esetben feltüntetendő a mű szerzője és a mű forrása is. </w:t>
      </w:r>
      <w:r>
        <w:rPr/>
        <w:t>Olyan feladatok esetében, amelyek jellegük szerint valamely mű szerzőjének vagy címének kitalálására épülnek, esetleg valamely mű keletkezési időpontjának behatárolása a feladat célja, és emiatt nem célszerű feltüntetni a feladatsorban magában a szerzőt és a címet, illetve a mű forrását, minden esetben utalni kell a feladatsorban az adott feladatnál arra, hogy az érintett mű szerzője, címe, illetve forrása az Sztv. 34. §-a értelmében a javítási-értékelési útmutatóban került feltüntetésre.</w:t>
      </w:r>
    </w:p>
    <w:p>
      <w:pPr>
        <w:pStyle w:val="Normal"/>
        <w:jc w:val="both"/>
        <w:rPr/>
      </w:pPr>
      <w:r>
        <w:rPr/>
      </w:r>
    </w:p>
    <w:p>
      <w:pPr>
        <w:pStyle w:val="Normal"/>
        <w:jc w:val="both"/>
        <w:rPr/>
      </w:pPr>
      <w:r>
        <w:rPr/>
        <w:t xml:space="preserve">Mivel a feladatlapok felhasználása iskolai oktatási célokat szolgál, így a szerzői jogok a személyhez fűződő jogok vonatkozásában nem sérülnek. </w:t>
      </w:r>
    </w:p>
    <w:p>
      <w:pPr>
        <w:pStyle w:val="Normal"/>
        <w:jc w:val="both"/>
        <w:rPr/>
      </w:pPr>
      <w:r>
        <w:rPr/>
      </w:r>
    </w:p>
    <w:p>
      <w:pPr>
        <w:pStyle w:val="Normal"/>
        <w:jc w:val="both"/>
        <w:rPr/>
      </w:pPr>
      <w:r>
        <w:rPr/>
        <w:t>Mindezen indokok teremtették meg a szabályozás jelenlegi formáját.</w:t>
      </w:r>
    </w:p>
    <w:p>
      <w:pPr>
        <w:pStyle w:val="Normal"/>
        <w:jc w:val="both"/>
        <w:rPr/>
      </w:pPr>
      <w:r>
        <w:rPr/>
      </w:r>
    </w:p>
    <w:p>
      <w:pPr>
        <w:pStyle w:val="Normal"/>
        <w:jc w:val="both"/>
        <w:rPr/>
      </w:pPr>
      <w:r>
        <w:rPr/>
        <w:t>A versenyfeladatok készítése során felvetődő kérdésekre a fentiek alapján a válaszok</w:t>
      </w:r>
      <w:bookmarkStart w:id="0" w:name="_GoBack"/>
      <w:bookmarkEnd w:id="0"/>
      <w:r>
        <w:rPr/>
        <w:t xml:space="preserve"> a következők:</w:t>
      </w:r>
    </w:p>
    <w:p>
      <w:pPr>
        <w:pStyle w:val="Normal"/>
        <w:jc w:val="both"/>
        <w:rPr/>
      </w:pPr>
      <w:r>
        <w:rPr/>
      </w:r>
    </w:p>
    <w:p>
      <w:pPr>
        <w:pStyle w:val="Normal"/>
        <w:numPr>
          <w:ilvl w:val="0"/>
          <w:numId w:val="1"/>
        </w:numPr>
        <w:jc w:val="both"/>
        <w:rPr/>
      </w:pPr>
      <w:r>
        <w:rPr/>
        <w:t>A versenyfeladatok felhasznált (idézett) művek szerzőinek esetében a személyhez fűződő jogok egyike, hogy mint az alkotás szerzőjét, a nevét a művön feltüntessék. Ez arra az esetre is irányadó, ha a mű részleteit veszik át, idézik vagy ismertetik (Sztv. 12. § (1) bekezdés). A szabad felhasználás keretei között a mű részletét – az átvevő mű jellege és célja által indokolt terjedelemben és az eredetihez híven – a forrás, valamint az ott megjelölt szerző megnevezésével bárki idézheti. (Sztv. 34. § (1) bekezdés).</w:t>
      </w:r>
    </w:p>
    <w:p>
      <w:pPr>
        <w:pStyle w:val="Normal"/>
        <w:jc w:val="both"/>
        <w:rPr/>
      </w:pPr>
      <w:r>
        <w:rPr/>
      </w:r>
    </w:p>
    <w:p>
      <w:pPr>
        <w:pStyle w:val="Normal"/>
        <w:numPr>
          <w:ilvl w:val="0"/>
          <w:numId w:val="1"/>
        </w:numPr>
        <w:jc w:val="both"/>
        <w:rPr/>
      </w:pPr>
      <w:r>
        <w:rPr/>
        <w:t>A versenyfeladatok feladatainak kiválogatása az egyes tételek / feladatlapok elkészítéséért felelős megbízott személyek feladata, akik szakmai tudásuknak, pedagógiai szempontjaiknak, és az adott tantárgyra vonatkozó elvárásoknak megfelelően, egyedileg állítják össze azokat. Az Oktatási Hivatal, mint jogszerző csak a versenyfeladatok elkészítésekor, a szerződések teljesítésekor lép fel, az azt megelőző folyamatban – a megbízási szerződés megkötését leszámítva – nem vesz részt. A fent részletezettek alapján a szabad felhasználásra vonatkozó szabályok betartása esetén – tekintettel az iskolai oktatási célra – sem a szerző beleegyezésére, sem díj fizetésére nem keletkezik kötelezettség.</w:t>
      </w:r>
    </w:p>
    <w:p>
      <w:pPr>
        <w:pStyle w:val="Normal"/>
        <w:ind w:left="708" w:hanging="0"/>
        <w:jc w:val="both"/>
        <w:rPr/>
      </w:pPr>
      <w:r>
        <w:rPr/>
      </w:r>
    </w:p>
    <w:p>
      <w:pPr>
        <w:pStyle w:val="Normal"/>
        <w:ind w:left="708" w:hanging="0"/>
        <w:jc w:val="both"/>
        <w:rPr/>
      </w:pPr>
      <w:r>
        <w:rPr/>
        <w:t>A megbízási szerződésekben szereplő megszorítások azokra az esetekre vonatkoznak, amelyekben a feladatsor (javítási-értékelési útmutató) összeállítása során a felhasználás túllépi a szabad felhasználás kereteit, és akkor az ehhez szükséges engedélyeket és hozzájárulásokat azoknak a megbízottaknak kell beszerezniük, akik túl kívánják lépni ezeket a lehetőségeket. Például, ha valamely szerzők által kifejlesztett, de még nyilvánosságra nem hozott módszert szeretnének felhasználni a feladatlap elkészítésekor, akkor a szerzők jogos érdekeire, személyhez fűződő jogaira (pontosítva: a mű nyilvánosságra hozatalához való jog) való tekintettel egy előzetes hozzájárulás bekérése indokolt.</w:t>
      </w:r>
    </w:p>
    <w:p>
      <w:pPr>
        <w:pStyle w:val="Normal"/>
        <w:jc w:val="both"/>
        <w:rPr/>
      </w:pPr>
      <w:r>
        <w:rPr/>
      </w:r>
    </w:p>
    <w:p>
      <w:pPr>
        <w:pStyle w:val="Normal"/>
        <w:jc w:val="both"/>
        <w:rPr/>
      </w:pPr>
      <w:r>
        <w:rPr/>
        <w:t xml:space="preserve">Az Oktatási Hivatal a szerződések alapján akként szerzi meg a felhasználási jogokat, hogy jogosult a szerzői művek </w:t>
      </w:r>
      <w:r>
        <w:rPr>
          <w:color w:val="000000"/>
        </w:rPr>
        <w:t xml:space="preserve">felhasználására harmadik személynek további engedélyt adni. Ezen további engedély nyújtása sem irányul azonban jövedelemszerzés vagy jövedelemfokozás céljára, így </w:t>
      </w:r>
      <w:r>
        <w:rPr/>
        <w:t xml:space="preserve">a művek eredeti szerzőinek a vagyoni jogai sem sérülnek. </w:t>
      </w:r>
    </w:p>
    <w:p>
      <w:pPr>
        <w:pStyle w:val="Normal"/>
        <w:jc w:val="both"/>
        <w:rPr/>
      </w:pPr>
      <w:r>
        <w:rPr/>
      </w:r>
    </w:p>
    <w:p>
      <w:pPr>
        <w:pStyle w:val="Normal"/>
        <w:jc w:val="both"/>
        <w:rPr/>
      </w:pPr>
      <w:r>
        <w:rPr/>
      </w:r>
    </w:p>
    <w:p>
      <w:pPr>
        <w:pStyle w:val="Normal"/>
        <w:jc w:val="both"/>
        <w:rPr/>
      </w:pPr>
      <w:r>
        <w:rPr/>
      </w:r>
    </w:p>
    <w:sectPr>
      <w:headerReference w:type="default" r:id="rId2"/>
      <w:footerReference w:type="default" r:id="rId3"/>
      <w:type w:val="nextPage"/>
      <w:pgSz w:w="11906" w:h="16838"/>
      <w:pgMar w:left="1304" w:right="1304" w:header="737" w:top="1134" w:footer="709"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G Omega">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r>
      <w:rPr/>
      <w:t>/</w:t>
    </w:r>
    <w:r>
      <w:rPr/>
      <w:fldChar w:fldCharType="begin"/>
    </w:r>
    <w:r>
      <w:rPr/>
      <w:instrText> DOCPROPERTY "Pages"</w:instrText>
    </w:r>
    <w:r>
      <w:rPr/>
      <w:fldChar w:fldCharType="separate"/>
    </w:r>
    <w:r>
      <w:rPr/>
      <w:t>2</w:t>
    </w:r>
    <w:r>
      <w:rPr/>
      <w:fldChar w:fldCharType="end"/>
    </w:r>
  </w:p>
  <w:p>
    <w:pPr>
      <w:pStyle w:val="Header"/>
      <w:tabs>
        <w:tab w:val="clear" w:pos="4536"/>
        <w:tab w:val="clear" w:pos="9072"/>
      </w:tabs>
      <w:jc w:val="right"/>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743" w:type="dxa"/>
      <w:tblBorders/>
      <w:tblCellMar>
        <w:top w:w="0" w:type="dxa"/>
        <w:left w:w="108" w:type="dxa"/>
        <w:bottom w:w="0" w:type="dxa"/>
        <w:right w:w="108" w:type="dxa"/>
      </w:tblCellMar>
      <w:tblLook w:noVBand="0" w:val="01e0" w:noHBand="0" w:lastColumn="1" w:firstColumn="1" w:lastRow="1" w:firstRow="1"/>
    </w:tblPr>
    <w:tblGrid>
      <w:gridCol w:w="959"/>
      <w:gridCol w:w="5053"/>
      <w:gridCol w:w="3286"/>
    </w:tblGrid>
    <w:tr>
      <w:trPr/>
      <w:tc>
        <w:tcPr>
          <w:tcW w:w="959" w:type="dxa"/>
          <w:tcBorders/>
          <w:shd w:fill="auto" w:val="clear"/>
          <w:vAlign w:val="center"/>
        </w:tcPr>
        <w:p>
          <w:pPr>
            <w:pStyle w:val="Header"/>
            <w:tabs>
              <w:tab w:val="clear" w:pos="4536"/>
              <w:tab w:val="clear" w:pos="9072"/>
            </w:tabs>
            <w:jc w:val="center"/>
            <w:rPr/>
          </w:pPr>
          <w:r>
            <w:rPr/>
            <w:drawing>
              <wp:inline distT="0" distB="0" distL="19050" distR="0">
                <wp:extent cx="533400" cy="800100"/>
                <wp:effectExtent l="0" t="0" r="0" b="0"/>
                <wp:docPr id="1" name="Kép 1" descr="5colorrgbsmall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5colorrgbsmallwy"/>
                        <pic:cNvPicPr>
                          <a:picLocks noChangeAspect="1" noChangeArrowheads="1"/>
                        </pic:cNvPicPr>
                      </pic:nvPicPr>
                      <pic:blipFill>
                        <a:blip r:embed="rId1"/>
                        <a:srcRect l="0" t="-943" r="0" b="4153"/>
                        <a:stretch>
                          <a:fillRect/>
                        </a:stretch>
                      </pic:blipFill>
                      <pic:spPr bwMode="auto">
                        <a:xfrm>
                          <a:off x="0" y="0"/>
                          <a:ext cx="533400" cy="800100"/>
                        </a:xfrm>
                        <a:prstGeom prst="rect">
                          <a:avLst/>
                        </a:prstGeom>
                      </pic:spPr>
                    </pic:pic>
                  </a:graphicData>
                </a:graphic>
              </wp:inline>
            </w:drawing>
          </w:r>
        </w:p>
      </w:tc>
      <w:tc>
        <w:tcPr>
          <w:tcW w:w="5053" w:type="dxa"/>
          <w:tcBorders/>
          <w:shd w:fill="auto" w:val="clear"/>
          <w:vAlign w:val="center"/>
        </w:tcPr>
        <w:p>
          <w:pPr>
            <w:pStyle w:val="Header"/>
            <w:tabs>
              <w:tab w:val="clear" w:pos="4536"/>
              <w:tab w:val="clear" w:pos="9072"/>
            </w:tabs>
            <w:jc w:val="both"/>
            <w:rPr>
              <w:rFonts w:ascii="Garamond" w:hAnsi="Garamond" w:cs="Arial"/>
              <w:b/>
              <w:b/>
              <w:spacing w:val="46"/>
              <w:sz w:val="44"/>
              <w:szCs w:val="44"/>
            </w:rPr>
          </w:pPr>
          <w:r>
            <w:rPr>
              <w:rFonts w:cs="Arial" w:ascii="Garamond" w:hAnsi="Garamond"/>
              <w:b/>
              <w:spacing w:val="46"/>
              <w:sz w:val="44"/>
              <w:szCs w:val="44"/>
            </w:rPr>
            <w:t>Oktatási Hivatal</w:t>
          </w:r>
        </w:p>
        <w:p>
          <w:pPr>
            <w:pStyle w:val="Header"/>
            <w:tabs>
              <w:tab w:val="clear" w:pos="4536"/>
              <w:tab w:val="clear" w:pos="9072"/>
            </w:tabs>
            <w:spacing w:before="20" w:after="0"/>
            <w:jc w:val="both"/>
            <w:rPr/>
          </w:pPr>
          <w:r>
            <w:rPr/>
          </w:r>
        </w:p>
      </w:tc>
      <w:tc>
        <w:tcPr>
          <w:tcW w:w="3286" w:type="dxa"/>
          <w:tcBorders/>
          <w:shd w:fill="auto" w:val="clear"/>
          <w:vAlign w:val="center"/>
        </w:tcPr>
        <w:p>
          <w:pPr>
            <w:pStyle w:val="Header"/>
            <w:spacing w:lineRule="atLeast" w:line="240"/>
            <w:jc w:val="both"/>
            <w:rPr>
              <w:sz w:val="16"/>
              <w:szCs w:val="16"/>
            </w:rPr>
          </w:pPr>
          <w:r>
            <w:rPr>
              <w:sz w:val="16"/>
              <w:szCs w:val="16"/>
            </w:rPr>
            <w:t>1055 Budapest, Szalay utca 10-14.</w:t>
          </w:r>
        </w:p>
        <w:p>
          <w:pPr>
            <w:pStyle w:val="Header"/>
            <w:spacing w:lineRule="atLeast" w:line="240"/>
            <w:jc w:val="both"/>
            <w:rPr>
              <w:sz w:val="16"/>
              <w:szCs w:val="16"/>
            </w:rPr>
          </w:pPr>
          <w:r>
            <w:rPr>
              <w:sz w:val="16"/>
              <w:szCs w:val="16"/>
            </w:rPr>
            <w:t xml:space="preserve">Postacím: 1363 Budapest, Pf. 19 </w:t>
          </w:r>
        </w:p>
        <w:p>
          <w:pPr>
            <w:pStyle w:val="Header"/>
            <w:spacing w:lineRule="atLeast" w:line="240"/>
            <w:jc w:val="both"/>
            <w:rPr>
              <w:sz w:val="16"/>
              <w:szCs w:val="16"/>
            </w:rPr>
          </w:pPr>
          <w:r>
            <w:rPr>
              <w:sz w:val="16"/>
              <w:szCs w:val="16"/>
            </w:rPr>
            <w:t>Telefon: (+36-1) 374-2416  Telefax: (+36-1) 374-2485</w:t>
          </w:r>
        </w:p>
        <w:p>
          <w:pPr>
            <w:pStyle w:val="Header"/>
            <w:tabs>
              <w:tab w:val="clear" w:pos="4536"/>
              <w:tab w:val="clear" w:pos="9072"/>
            </w:tabs>
            <w:spacing w:lineRule="atLeast" w:line="240"/>
            <w:jc w:val="both"/>
            <w:rPr/>
          </w:pPr>
          <w:r>
            <w:rPr>
              <w:sz w:val="16"/>
              <w:szCs w:val="16"/>
            </w:rPr>
            <w:t xml:space="preserve">Honlap: </w:t>
          </w:r>
          <w:hyperlink r:id="rId2">
            <w:r>
              <w:rPr>
                <w:rStyle w:val="InternetLink"/>
                <w:sz w:val="16"/>
                <w:szCs w:val="16"/>
              </w:rPr>
              <w:t>www.oh.gov.hu</w:t>
            </w:r>
          </w:hyperlink>
          <w:r>
            <w:rPr>
              <w:sz w:val="16"/>
              <w:szCs w:val="16"/>
            </w:rPr>
            <w:t xml:space="preserve">  </w:t>
          </w:r>
        </w:p>
        <w:p>
          <w:pPr>
            <w:pStyle w:val="Header"/>
            <w:tabs>
              <w:tab w:val="clear" w:pos="4536"/>
              <w:tab w:val="clear" w:pos="9072"/>
            </w:tabs>
            <w:spacing w:lineRule="atLeast" w:line="240"/>
            <w:jc w:val="both"/>
            <w:rPr/>
          </w:pPr>
          <w:r>
            <w:rPr>
              <w:sz w:val="16"/>
              <w:szCs w:val="16"/>
            </w:rPr>
            <w:t>E-mail: info@oh.gov.hu</w:t>
          </w:r>
        </w:p>
      </w:tc>
    </w:tr>
    <w:tr>
      <w:trPr>
        <w:trHeight w:val="57" w:hRule="exact"/>
      </w:trPr>
      <w:tc>
        <w:tcPr>
          <w:tcW w:w="959" w:type="dxa"/>
          <w:tcBorders>
            <w:bottom w:val="thinThickSmallGap" w:sz="24" w:space="0" w:color="333333"/>
            <w:insideH w:val="thinThickSmallGap" w:sz="24" w:space="0" w:color="333333"/>
          </w:tcBorders>
          <w:shd w:fill="auto" w:val="clear"/>
          <w:tcMar>
            <w:left w:w="0" w:type="dxa"/>
            <w:right w:w="0" w:type="dxa"/>
          </w:tcMar>
          <w:vAlign w:val="center"/>
        </w:tcPr>
        <w:p>
          <w:pPr>
            <w:pStyle w:val="Header"/>
            <w:tabs>
              <w:tab w:val="clear" w:pos="4536"/>
              <w:tab w:val="clear" w:pos="9072"/>
            </w:tabs>
            <w:jc w:val="center"/>
            <w:rPr>
              <w:sz w:val="2"/>
              <w:szCs w:val="2"/>
            </w:rPr>
          </w:pPr>
          <w:r>
            <w:rPr>
              <w:sz w:val="2"/>
              <w:szCs w:val="2"/>
            </w:rPr>
          </w:r>
        </w:p>
      </w:tc>
      <w:tc>
        <w:tcPr>
          <w:tcW w:w="5053" w:type="dxa"/>
          <w:tcBorders>
            <w:bottom w:val="thinThickSmallGap" w:sz="24" w:space="0" w:color="333333"/>
            <w:insideH w:val="thinThickSmallGap" w:sz="24" w:space="0" w:color="333333"/>
          </w:tcBorders>
          <w:shd w:fill="auto" w:val="clear"/>
          <w:vAlign w:val="center"/>
        </w:tcPr>
        <w:p>
          <w:pPr>
            <w:pStyle w:val="Header"/>
            <w:jc w:val="both"/>
            <w:rPr>
              <w:rFonts w:ascii="Garamond" w:hAnsi="Garamond" w:cs="Arial"/>
              <w:b/>
              <w:b/>
              <w:spacing w:val="46"/>
              <w:sz w:val="2"/>
              <w:szCs w:val="2"/>
            </w:rPr>
          </w:pPr>
          <w:r>
            <w:rPr>
              <w:rFonts w:cs="Arial" w:ascii="Garamond" w:hAnsi="Garamond"/>
              <w:b/>
              <w:spacing w:val="46"/>
              <w:sz w:val="2"/>
              <w:szCs w:val="2"/>
            </w:rPr>
          </w:r>
        </w:p>
      </w:tc>
      <w:tc>
        <w:tcPr>
          <w:tcW w:w="3286" w:type="dxa"/>
          <w:tcBorders>
            <w:bottom w:val="thinThickSmallGap" w:sz="24" w:space="0" w:color="333333"/>
            <w:insideH w:val="thinThickSmallGap" w:sz="24" w:space="0" w:color="333333"/>
          </w:tcBorders>
          <w:shd w:fill="auto" w:val="clear"/>
        </w:tcPr>
        <w:p>
          <w:pPr>
            <w:pStyle w:val="Header"/>
            <w:spacing w:lineRule="atLeast" w:line="240"/>
            <w:jc w:val="both"/>
            <w:rPr>
              <w:sz w:val="2"/>
              <w:szCs w:val="2"/>
            </w:rPr>
          </w:pPr>
          <w:r>
            <w:rPr>
              <w:sz w:val="2"/>
              <w:szCs w:val="2"/>
            </w:rPr>
          </w:r>
        </w:p>
      </w:tc>
    </w:tr>
  </w:tbl>
  <w:p>
    <w:pPr>
      <w:pStyle w:val="Normal"/>
      <w:ind w:right="480" w:hanging="0"/>
      <w:rPr>
        <w:b/>
        <w:b/>
      </w:rPr>
    </w:pPr>
    <w:r>
      <w:rPr>
        <w:b/>
      </w:rPr>
    </w:r>
  </w:p>
  <w:p>
    <w:pPr>
      <w:pStyle w:val="Normal"/>
      <w:ind w:right="480" w:hanging="0"/>
      <w:rPr>
        <w:b/>
        <w:b/>
      </w:rPr>
    </w:pPr>
    <w:r>
      <w:rPr>
        <w:b/>
      </w:rPr>
      <w:t xml:space="preserve">2018/2019-es tanév </w:t>
      <w:tab/>
      <w:tab/>
      <w:tab/>
      <w:tab/>
      <w:tab/>
      <w:tab/>
      <w:tab/>
      <w:tab/>
      <w:t>2. sz. melléklet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478d"/>
    <w:pPr>
      <w:widowControl/>
      <w:bidi w:val="0"/>
      <w:jc w:val="left"/>
    </w:pPr>
    <w:rPr>
      <w:rFonts w:ascii="Times New Roman" w:hAnsi="Times New Roman" w:eastAsia="Times New Roman" w:cs="Times New Roman"/>
      <w:color w:val="auto"/>
      <w:kern w:val="0"/>
      <w:sz w:val="24"/>
      <w:szCs w:val="24"/>
      <w:lang w:val="hu-HU" w:eastAsia="hu-HU"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951f81"/>
    <w:rPr>
      <w:color w:val="0000FF"/>
      <w:u w:val="single"/>
    </w:rPr>
  </w:style>
  <w:style w:type="character" w:styleId="Pagenumber">
    <w:name w:val="page number"/>
    <w:basedOn w:val="DefaultParagraphFont"/>
    <w:qFormat/>
    <w:rsid w:val="004015cd"/>
    <w:rPr/>
  </w:style>
  <w:style w:type="character" w:styleId="SzvegtrzsChar" w:customStyle="1">
    <w:name w:val="Szövegtörzs Char"/>
    <w:basedOn w:val="DefaultParagraphFont"/>
    <w:link w:val="Szvegtrzs"/>
    <w:qFormat/>
    <w:rsid w:val="00a31003"/>
    <w:rPr>
      <w:rFonts w:ascii="CG Omega" w:hAnsi="CG Omega" w:cs="Arial Unicode MS"/>
      <w:b/>
      <w:bCs/>
      <w:sz w:val="48"/>
      <w:szCs w:val="24"/>
    </w:rPr>
  </w:style>
  <w:style w:type="character" w:styleId="CmChar" w:customStyle="1">
    <w:name w:val="Cím Char"/>
    <w:basedOn w:val="DefaultParagraphFont"/>
    <w:link w:val="Cm"/>
    <w:qFormat/>
    <w:rsid w:val="00a31003"/>
    <w:rPr>
      <w:rFonts w:ascii="Arial" w:hAnsi="Arial"/>
      <w:b/>
      <w:sz w:val="24"/>
      <w:u w:val="single"/>
    </w:rPr>
  </w:style>
  <w:style w:type="character" w:styleId="LlbChar" w:customStyle="1">
    <w:name w:val="Élőláb Char"/>
    <w:basedOn w:val="DefaultParagraphFont"/>
    <w:link w:val="llb"/>
    <w:uiPriority w:val="99"/>
    <w:qFormat/>
    <w:rsid w:val="00b57b4f"/>
    <w:rPr>
      <w:sz w:val="24"/>
      <w:szCs w:val="24"/>
    </w:rPr>
  </w:style>
  <w:style w:type="character" w:styleId="BuborkszvegChar" w:customStyle="1">
    <w:name w:val="Buborékszöveg Char"/>
    <w:basedOn w:val="DefaultParagraphFont"/>
    <w:link w:val="Buborkszveg"/>
    <w:qFormat/>
    <w:rsid w:val="00434534"/>
    <w:rPr>
      <w:rFonts w:ascii="Tahoma" w:hAnsi="Tahoma" w:cs="Tahoma"/>
      <w:sz w:val="16"/>
      <w:szCs w:val="16"/>
    </w:rPr>
  </w:style>
  <w:style w:type="character" w:styleId="Annotationreference">
    <w:name w:val="annotation reference"/>
    <w:basedOn w:val="DefaultParagraphFont"/>
    <w:qFormat/>
    <w:rsid w:val="008758f0"/>
    <w:rPr>
      <w:sz w:val="16"/>
      <w:szCs w:val="16"/>
    </w:rPr>
  </w:style>
  <w:style w:type="character" w:styleId="JegyzetszvegChar" w:customStyle="1">
    <w:name w:val="Jegyzetszöveg Char"/>
    <w:basedOn w:val="DefaultParagraphFont"/>
    <w:link w:val="Jegyzetszveg"/>
    <w:qFormat/>
    <w:rsid w:val="008758f0"/>
    <w:rPr/>
  </w:style>
  <w:style w:type="character" w:styleId="MegjegyzstrgyaChar" w:customStyle="1">
    <w:name w:val="Megjegyzés tárgya Char"/>
    <w:basedOn w:val="JegyzetszvegChar"/>
    <w:link w:val="Megjegyzstrgya"/>
    <w:qFormat/>
    <w:rsid w:val="008758f0"/>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16"/>
      <w:szCs w:val="16"/>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link w:val="SzvegtrzsChar"/>
    <w:rsid w:val="00a31003"/>
    <w:pPr/>
    <w:rPr>
      <w:rFonts w:ascii="CG Omega" w:hAnsi="CG Omega" w:cs="Arial Unicode MS"/>
      <w:b/>
      <w:bCs/>
      <w:sz w:val="48"/>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rsid w:val="00535c0e"/>
    <w:pPr>
      <w:tabs>
        <w:tab w:val="center" w:pos="4536" w:leader="none"/>
        <w:tab w:val="right" w:pos="9072" w:leader="none"/>
      </w:tabs>
    </w:pPr>
    <w:rPr/>
  </w:style>
  <w:style w:type="paragraph" w:styleId="Footer">
    <w:name w:val="Footer"/>
    <w:basedOn w:val="Normal"/>
    <w:link w:val="llbChar"/>
    <w:uiPriority w:val="99"/>
    <w:rsid w:val="00535c0e"/>
    <w:pPr>
      <w:tabs>
        <w:tab w:val="center" w:pos="4536" w:leader="none"/>
        <w:tab w:val="right" w:pos="9072" w:leader="none"/>
      </w:tabs>
    </w:pPr>
    <w:rPr/>
  </w:style>
  <w:style w:type="paragraph" w:styleId="Title">
    <w:name w:val="Title"/>
    <w:basedOn w:val="Normal"/>
    <w:link w:val="CmChar"/>
    <w:qFormat/>
    <w:rsid w:val="00a31003"/>
    <w:pPr>
      <w:jc w:val="center"/>
    </w:pPr>
    <w:rPr>
      <w:rFonts w:ascii="Arial" w:hAnsi="Arial"/>
      <w:b/>
      <w:szCs w:val="20"/>
      <w:u w:val="single"/>
    </w:rPr>
  </w:style>
  <w:style w:type="paragraph" w:styleId="BalloonText">
    <w:name w:val="Balloon Text"/>
    <w:basedOn w:val="Normal"/>
    <w:link w:val="BuborkszvegChar"/>
    <w:qFormat/>
    <w:rsid w:val="00434534"/>
    <w:pPr/>
    <w:rPr>
      <w:rFonts w:ascii="Tahoma" w:hAnsi="Tahoma" w:cs="Tahoma"/>
      <w:sz w:val="16"/>
      <w:szCs w:val="16"/>
    </w:rPr>
  </w:style>
  <w:style w:type="paragraph" w:styleId="Annotationtext">
    <w:name w:val="annotation text"/>
    <w:basedOn w:val="Normal"/>
    <w:link w:val="JegyzetszvegChar"/>
    <w:qFormat/>
    <w:rsid w:val="008758f0"/>
    <w:pPr/>
    <w:rPr>
      <w:sz w:val="20"/>
      <w:szCs w:val="20"/>
    </w:rPr>
  </w:style>
  <w:style w:type="paragraph" w:styleId="Annotationsubject">
    <w:name w:val="annotation subject"/>
    <w:basedOn w:val="Annotationtext"/>
    <w:link w:val="MegjegyzstrgyaChar"/>
    <w:qFormat/>
    <w:rsid w:val="008758f0"/>
    <w:pPr/>
    <w:rPr>
      <w:b/>
      <w:bCs/>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rsid w:val="00535c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oh.gov.hu/"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frkp határozat.dot</Template>
  <TotalTime>101</TotalTime>
  <Application>LibreOffice/6.0.7.3$Linux_X86_64 LibreOffice_project/00m0$Build-3</Application>
  <Pages>2</Pages>
  <Words>824</Words>
  <Characters>5457</Characters>
  <CharactersWithSpaces>6272</CharactersWithSpaces>
  <Paragraphs>28</Paragraphs>
  <Company>bl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2017-09-05T17:34:00Z</dcterms:created>
  <dc:creator>bakonyil</dc:creator>
  <dc:description/>
  <dc:language>hu-HU</dc:language>
  <cp:lastModifiedBy>Raczkóné Rafajlovics Ilona</cp:lastModifiedBy>
  <cp:lastPrinted>2009-11-13T12:10:00Z</cp:lastPrinted>
  <dcterms:modified xsi:type="dcterms:W3CDTF">2018-10-02T07:52:00Z</dcterms:modified>
  <cp:revision>20</cp:revision>
  <dc:subject/>
  <dc:title>Iktatószám: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