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D63" w:rsidRDefault="007D6D63" w:rsidP="007D6D63">
      <w:pPr>
        <w:jc w:val="center"/>
      </w:pPr>
      <w:r>
        <w:rPr>
          <w:b/>
          <w:color w:val="000000"/>
          <w:sz w:val="28"/>
          <w:szCs w:val="28"/>
        </w:rPr>
        <w:t>A 2018/2019. tanévi</w:t>
      </w:r>
    </w:p>
    <w:p w:rsidR="007D6D63" w:rsidRDefault="007D6D63" w:rsidP="007D6D6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Országos Középiskolai Tanulmányi Verseny</w:t>
      </w:r>
    </w:p>
    <w:p w:rsidR="007D6D63" w:rsidRDefault="00081863" w:rsidP="007D6D6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</w:t>
      </w:r>
      <w:r w:rsidR="007D6D63">
        <w:rPr>
          <w:b/>
          <w:color w:val="000000"/>
          <w:sz w:val="28"/>
          <w:szCs w:val="28"/>
        </w:rPr>
        <w:t xml:space="preserve">öntő forduló </w:t>
      </w:r>
    </w:p>
    <w:p w:rsidR="007D6D63" w:rsidRDefault="007D6D63" w:rsidP="007D6D63">
      <w:pPr>
        <w:jc w:val="center"/>
        <w:rPr>
          <w:b/>
          <w:color w:val="000000"/>
          <w:sz w:val="28"/>
          <w:szCs w:val="28"/>
        </w:rPr>
      </w:pPr>
    </w:p>
    <w:p w:rsidR="007D6D63" w:rsidRDefault="007D6D63" w:rsidP="007D6D63">
      <w:pPr>
        <w:jc w:val="center"/>
      </w:pPr>
      <w:r>
        <w:rPr>
          <w:b/>
          <w:caps/>
          <w:color w:val="000000"/>
          <w:sz w:val="32"/>
          <w:szCs w:val="32"/>
        </w:rPr>
        <w:t>Fizika I. kategória</w:t>
      </w:r>
    </w:p>
    <w:p w:rsidR="007D6D63" w:rsidRDefault="007D6D63" w:rsidP="007D6D63">
      <w:pPr>
        <w:jc w:val="center"/>
        <w:rPr>
          <w:b/>
          <w:caps/>
          <w:color w:val="000000"/>
          <w:sz w:val="28"/>
          <w:szCs w:val="28"/>
        </w:rPr>
      </w:pPr>
    </w:p>
    <w:p w:rsidR="007D6D63" w:rsidRDefault="007D6D63" w:rsidP="007D6D63">
      <w:pPr>
        <w:jc w:val="center"/>
      </w:pPr>
      <w:r>
        <w:rPr>
          <w:b/>
          <w:caps/>
          <w:color w:val="000000"/>
          <w:sz w:val="28"/>
          <w:szCs w:val="28"/>
        </w:rPr>
        <w:t>Feladatok</w:t>
      </w:r>
    </w:p>
    <w:p w:rsidR="007D6D63" w:rsidRDefault="007D6D63">
      <w:pPr>
        <w:spacing w:line="360" w:lineRule="auto"/>
      </w:pPr>
    </w:p>
    <w:p w:rsidR="00FB4CD4" w:rsidRDefault="007D6D63">
      <w:pPr>
        <w:jc w:val="center"/>
      </w:pPr>
      <w:r>
        <w:rPr>
          <w:rFonts w:eastAsia="Liberation Serif;Times New Roma" w:cs="Liberation Serif;Times New Roma"/>
          <w:b/>
          <w:bCs/>
          <w:sz w:val="28"/>
          <w:szCs w:val="28"/>
        </w:rPr>
        <w:t>„És mégis forog a F</w:t>
      </w:r>
      <w:r w:rsidR="009D4A70">
        <w:rPr>
          <w:rFonts w:eastAsia="Liberation Serif;Times New Roma" w:cs="Liberation Serif;Times New Roma"/>
          <w:b/>
          <w:bCs/>
          <w:sz w:val="28"/>
          <w:szCs w:val="28"/>
        </w:rPr>
        <w:t>öld</w:t>
      </w:r>
      <w:r w:rsidR="009D4A70">
        <w:rPr>
          <w:b/>
          <w:bCs/>
          <w:sz w:val="28"/>
          <w:szCs w:val="28"/>
        </w:rPr>
        <w:t>”</w:t>
      </w:r>
    </w:p>
    <w:p w:rsidR="00FB4CD4" w:rsidRDefault="00FB4CD4">
      <w:pPr>
        <w:jc w:val="center"/>
        <w:rPr>
          <w:b/>
          <w:bCs/>
          <w:sz w:val="28"/>
          <w:szCs w:val="28"/>
        </w:rPr>
      </w:pPr>
    </w:p>
    <w:p w:rsidR="00FB4CD4" w:rsidRDefault="009D4A70" w:rsidP="00081863">
      <w:pPr>
        <w:spacing w:after="120"/>
      </w:pPr>
      <w:r>
        <w:rPr>
          <w:b/>
          <w:bCs/>
        </w:rPr>
        <w:t xml:space="preserve">Motiváció: </w:t>
      </w:r>
    </w:p>
    <w:p w:rsidR="00FB4CD4" w:rsidRDefault="00C4500C" w:rsidP="007D6D63">
      <w:pPr>
        <w:jc w:val="both"/>
      </w:pPr>
      <w:r>
        <w:t>2019-ben ünnepeljük Eötvös Lo</w:t>
      </w:r>
      <w:r w:rsidR="009D4A70">
        <w:t xml:space="preserve">ránd halálának 100. évfordulóját. A mérési feladat az évfordulóhoz kötődik. </w:t>
      </w:r>
    </w:p>
    <w:p w:rsidR="00FB4CD4" w:rsidRDefault="00FB4CD4" w:rsidP="007D6D63">
      <w:pPr>
        <w:jc w:val="both"/>
      </w:pPr>
    </w:p>
    <w:p w:rsidR="00FB4CD4" w:rsidRDefault="009D4A70" w:rsidP="007D6D63">
      <w:pPr>
        <w:jc w:val="both"/>
      </w:pPr>
      <w:r>
        <w:t xml:space="preserve">Napjainkban mindenki számára evidenciának tűnik, hogy a </w:t>
      </w:r>
      <w:r w:rsidR="007D6D63">
        <w:t>Föld</w:t>
      </w:r>
      <w:r>
        <w:t xml:space="preserve"> forog a tengelye körül. Ez azonban egyáltalán nem </w:t>
      </w:r>
      <w:r w:rsidR="00C4500C">
        <w:t xml:space="preserve">volt mindig </w:t>
      </w:r>
      <w:r>
        <w:t>így. Elvben elképzelhető lenne, hogy ahogy azt mi „látjuk”</w:t>
      </w:r>
      <w:r w:rsidR="00C4500C">
        <w:t>, a N</w:t>
      </w:r>
      <w:r>
        <w:t xml:space="preserve">ap és a csillagok forognak a </w:t>
      </w:r>
      <w:r w:rsidR="007D6D63">
        <w:t>Föld</w:t>
      </w:r>
      <w:r>
        <w:t xml:space="preserve"> körül. Ezért felmerül a kérdés, hogy honnan tudjuk, hogy forog a </w:t>
      </w:r>
      <w:r w:rsidR="007D6D63">
        <w:t>Föld</w:t>
      </w:r>
      <w:r>
        <w:t>. Ha nagyon pontosan akarunk fogalmazni, akkor az igazából mindegy, hogy mi forog mihez képest, a megfigyelt jelenségek mindkét „megközelítés</w:t>
      </w:r>
      <w:r w:rsidR="00C4500C">
        <w:t>sel” elvben leírhatók lennének.</w:t>
      </w:r>
    </w:p>
    <w:p w:rsidR="00FB4CD4" w:rsidRDefault="00FB4CD4" w:rsidP="007D6D63">
      <w:pPr>
        <w:jc w:val="both"/>
      </w:pPr>
    </w:p>
    <w:p w:rsidR="00FB4CD4" w:rsidRDefault="009D4A70" w:rsidP="007D6D63">
      <w:pPr>
        <w:jc w:val="both"/>
      </w:pPr>
      <w:r>
        <w:t>Akkor miről is van itt szó? A választ Newton törvény</w:t>
      </w:r>
      <w:r w:rsidR="00C4500C">
        <w:t>e</w:t>
      </w:r>
      <w:r>
        <w:t>i adják. A Newton törvények csak sp</w:t>
      </w:r>
      <w:r w:rsidR="00C4500C">
        <w:t>eciálisan választott koordináta</w:t>
      </w:r>
      <w:r>
        <w:t>rendszerekben, úgynevezett inerciarendszerekben érvényesek. Az inerciarendszer egy olyan koordináta rendszer</w:t>
      </w:r>
      <w:r w:rsidR="00C4500C">
        <w:t>,</w:t>
      </w:r>
      <w:r>
        <w:t xml:space="preserve"> amiben egy magára hagyott (más testekkel kölcsönhatásban nem levő) test egyenesvo</w:t>
      </w:r>
      <w:r w:rsidR="00C4500C">
        <w:t xml:space="preserve">nalú egyenletes mozgást végez. </w:t>
      </w:r>
      <w:r>
        <w:t xml:space="preserve">Az ilyen koordináta rendszerben érvényes az </w:t>
      </w:r>
      <m:oMath>
        <m:r>
          <w:rPr>
            <w:rFonts w:ascii="Cambria Math" w:hAnsi="Cambria Math"/>
          </w:rPr>
          <m:t>F=ma</m:t>
        </m:r>
      </m:oMath>
      <w:r w:rsidR="00C4500C">
        <w:t>,</w:t>
      </w:r>
      <w:r>
        <w:t xml:space="preserve"> Newton II. törvénye</w:t>
      </w:r>
      <w:r w:rsidR="00C4500C">
        <w:t>,</w:t>
      </w:r>
      <w:r>
        <w:t xml:space="preserve"> és persze a hatás ellenhatás törvénye is. Ennek megfelelően kísérletileg eldönthető, hogy egy koordináta rendszer inerciarendszer</w:t>
      </w:r>
      <w:r w:rsidR="00C4500C">
        <w:t>-e</w:t>
      </w:r>
      <w:r>
        <w:t xml:space="preserve"> vagy sem. </w:t>
      </w:r>
    </w:p>
    <w:p w:rsidR="00FB4CD4" w:rsidRDefault="00FB4CD4" w:rsidP="007D6D63">
      <w:pPr>
        <w:jc w:val="both"/>
      </w:pPr>
    </w:p>
    <w:p w:rsidR="00FB4CD4" w:rsidRDefault="009D4A70" w:rsidP="007D6D63">
      <w:pPr>
        <w:jc w:val="both"/>
      </w:pPr>
      <w:r>
        <w:t>Mi történik</w:t>
      </w:r>
      <w:r w:rsidR="00C4500C">
        <w:t>,</w:t>
      </w:r>
      <w:r>
        <w:t xml:space="preserve"> ha</w:t>
      </w:r>
      <w:r w:rsidR="00C4500C">
        <w:t xml:space="preserve"> nem inerciarendszerben vagyunk?</w:t>
      </w:r>
      <w:r>
        <w:t xml:space="preserve"> Belátható, hogy az </w:t>
      </w:r>
      <m:oMath>
        <m:r>
          <w:rPr>
            <w:rFonts w:ascii="Cambria Math" w:hAnsi="Cambria Math"/>
          </w:rPr>
          <m:t>F=ma</m:t>
        </m:r>
      </m:oMath>
      <w:r w:rsidR="00C4500C">
        <w:t xml:space="preserve"> </w:t>
      </w:r>
      <w:r>
        <w:t xml:space="preserve">törvény ekkor is formálisan fenntartható, csak úgynevezett tehetetlenségi erőket kell bevezetni. A forgó </w:t>
      </w:r>
      <w:r w:rsidR="007D6D63">
        <w:t>Föld</w:t>
      </w:r>
      <w:r>
        <w:t xml:space="preserve">ön két ilyen tehetetlenségi erő lép </w:t>
      </w:r>
      <w:r w:rsidR="00C4500C">
        <w:t>fel. Az egyik az ú</w:t>
      </w:r>
      <w:r>
        <w:t>n. cent</w:t>
      </w:r>
      <w:r w:rsidR="00C4500C">
        <w:t xml:space="preserve">rifugális erő, amely arányos a </w:t>
      </w:r>
      <w:r>
        <w:t xml:space="preserve">kérdéses pontnak a </w:t>
      </w:r>
      <w:r w:rsidR="007D6D63">
        <w:t>Föld</w:t>
      </w:r>
      <w:r>
        <w:t xml:space="preserve"> forgástengelyétől mért távolságával, a forgási szögsebesség négyzetével és a vizsgált test tömegével. Ezért a forgó </w:t>
      </w:r>
      <w:r w:rsidR="007D6D63">
        <w:t>Föld</w:t>
      </w:r>
      <w:r>
        <w:t xml:space="preserve">ön egy test „súlya” egyrészt a </w:t>
      </w:r>
      <w:r w:rsidR="007D6D63">
        <w:t>Föld</w:t>
      </w:r>
      <w:r>
        <w:t xml:space="preserve"> gravitációs </w:t>
      </w:r>
      <w:r w:rsidR="00C4500C">
        <w:t>vonzó erejéből</w:t>
      </w:r>
      <w:r>
        <w:t>, más</w:t>
      </w:r>
      <w:r w:rsidR="00416C71">
        <w:t>részt a centrifugális erőből adódik össze</w:t>
      </w:r>
      <w:r>
        <w:t>.</w:t>
      </w:r>
    </w:p>
    <w:p w:rsidR="00FB4CD4" w:rsidRDefault="00FB4CD4" w:rsidP="007D6D63">
      <w:pPr>
        <w:jc w:val="both"/>
      </w:pPr>
    </w:p>
    <w:p w:rsidR="00FB4CD4" w:rsidRDefault="009D4A70" w:rsidP="007D6D63">
      <w:pPr>
        <w:jc w:val="both"/>
      </w:pPr>
      <w:r>
        <w:t xml:space="preserve">Ha a forgó </w:t>
      </w:r>
      <w:r w:rsidR="007D6D63">
        <w:t>Föld</w:t>
      </w:r>
      <w:r>
        <w:t>ön egy test mozog is</w:t>
      </w:r>
      <w:r w:rsidR="00416C71">
        <w:t>,</w:t>
      </w:r>
      <w:r>
        <w:t xml:space="preserve"> akkor </w:t>
      </w:r>
      <w:r w:rsidR="00416C71">
        <w:t>még egy tehetetlenségi erőt, az ún. Coriolis-</w:t>
      </w:r>
      <w:r>
        <w:t>erőt is fe</w:t>
      </w:r>
      <w:r w:rsidR="00416C71">
        <w:t xml:space="preserve">l kell venni ahhoz, hogy az </w:t>
      </w:r>
      <m:oMath>
        <m:r>
          <w:rPr>
            <w:rFonts w:ascii="Cambria Math" w:hAnsi="Cambria Math"/>
          </w:rPr>
          <m:t>F=ma</m:t>
        </m:r>
      </m:oMath>
      <w:r w:rsidR="00416C71">
        <w:t xml:space="preserve"> érvényben maradjon. A Coriolis-</w:t>
      </w:r>
      <w:r>
        <w:t xml:space="preserve">erő </w:t>
      </w:r>
      <w:r w:rsidR="00416C71">
        <w:t xml:space="preserve">nagysága </w:t>
      </w:r>
      <w:r w:rsidR="00416C71">
        <w:br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=2m∙v∙ω∙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α</m:t>
            </m:r>
          </m:e>
        </m:func>
      </m:oMath>
      <w:r>
        <w:rPr>
          <w:i/>
          <w:iCs/>
        </w:rPr>
        <w:t>,</w:t>
      </w:r>
      <w:r>
        <w:t xml:space="preserve"> ahol </w:t>
      </w:r>
      <m:oMath>
        <m:r>
          <w:rPr>
            <w:rFonts w:ascii="Cambria Math" w:hAnsi="Cambria Math"/>
          </w:rPr>
          <m:t>m</m:t>
        </m:r>
      </m:oMath>
      <w:r>
        <w:rPr>
          <w:i/>
          <w:iCs/>
        </w:rPr>
        <w:t xml:space="preserve"> </w:t>
      </w:r>
      <w:r>
        <w:t xml:space="preserve">a tehetetlen tömeg, </w:t>
      </w:r>
      <m:oMath>
        <m:r>
          <w:rPr>
            <w:rFonts w:ascii="Cambria Math" w:hAnsi="Cambria Math"/>
          </w:rPr>
          <m:t>v</m:t>
        </m:r>
      </m:oMath>
      <w:r>
        <w:rPr>
          <w:i/>
          <w:iCs/>
        </w:rPr>
        <w:t xml:space="preserve"> </w:t>
      </w:r>
      <w:r>
        <w:t xml:space="preserve">a test sebessége, </w:t>
      </w:r>
      <m:oMath>
        <m:r>
          <w:rPr>
            <w:rFonts w:ascii="Cambria Math" w:hAnsi="Cambria Math"/>
          </w:rPr>
          <m:t>ω</m:t>
        </m:r>
      </m:oMath>
      <w:r>
        <w:rPr>
          <w:i/>
          <w:iCs/>
        </w:rPr>
        <w:t xml:space="preserve"> </w:t>
      </w:r>
      <w:r>
        <w:t xml:space="preserve">a </w:t>
      </w:r>
      <w:r w:rsidR="007D6D63">
        <w:t>Föld</w:t>
      </w:r>
      <w:r w:rsidR="00416C71">
        <w:t xml:space="preserve"> szögsebessége, és </w:t>
      </w:r>
      <w:r>
        <w:rPr>
          <w:i/>
          <w:iCs/>
        </w:rPr>
        <w:t xml:space="preserve">α </w:t>
      </w:r>
      <w:r>
        <w:t>a sebesség és szögsebesség ve</w:t>
      </w:r>
      <w:r w:rsidR="00416C71">
        <w:t>ktorok közötti szög. A Coriolis-</w:t>
      </w:r>
      <w:r>
        <w:t xml:space="preserve">erő merőleges a sebesség és szögsebesség vektorok által meghatározott síkra. </w:t>
      </w:r>
    </w:p>
    <w:p w:rsidR="00FB4CD4" w:rsidRDefault="00FB4CD4" w:rsidP="007D6D63">
      <w:pPr>
        <w:jc w:val="both"/>
      </w:pPr>
    </w:p>
    <w:p w:rsidR="00FB4CD4" w:rsidRDefault="009D4A70" w:rsidP="007D6D63">
      <w:pPr>
        <w:jc w:val="both"/>
      </w:pPr>
      <w:r>
        <w:t xml:space="preserve">Az első direkt kísérleti bizonyíték a </w:t>
      </w:r>
      <w:r w:rsidR="007D6D63">
        <w:t>Föld</w:t>
      </w:r>
      <w:r>
        <w:t xml:space="preserve"> forgására Foucault híres ingakísérlete volt</w:t>
      </w:r>
      <w:r w:rsidR="00416C71">
        <w:t xml:space="preserve"> 1851-ben</w:t>
      </w:r>
      <w:r>
        <w:t xml:space="preserve">. Ez úgy „működik”, hogy a lengő ingára a forgó </w:t>
      </w:r>
      <w:r w:rsidR="007D6D63">
        <w:t>Föld</w:t>
      </w:r>
      <w:r w:rsidR="00416C71">
        <w:t>ön a fentiekben leírt Coriolis-</w:t>
      </w:r>
      <w:r>
        <w:t>erő is hat a súlyerőn é</w:t>
      </w:r>
      <w:r w:rsidR="00416C71">
        <w:t>s a kötélerőn kívül. A Coriolis-</w:t>
      </w:r>
      <w:r>
        <w:t xml:space="preserve">erő hatására az inga lengési síkja lassan elfordul. Ezt az elfordulást mutatta ki Foucault. Ha tehát a </w:t>
      </w:r>
      <w:r w:rsidR="007D6D63">
        <w:t>Föld</w:t>
      </w:r>
      <w:r>
        <w:t xml:space="preserve"> nem forogna, így inerciarendszer lenne, az inga </w:t>
      </w:r>
      <w:r w:rsidR="00416C71">
        <w:t xml:space="preserve">síkja </w:t>
      </w:r>
      <w:r>
        <w:t xml:space="preserve">nem fordulna el. A kísérletnek van azonban egy nagy hátránya, ugyanis a </w:t>
      </w:r>
      <w:r>
        <w:lastRenderedPageBreak/>
        <w:t>szögelfordulás sebessége igen kicsi, Magyarországon 11 fok/óra. Így tehát ahhoz, hogy valamit lássunk</w:t>
      </w:r>
      <w:r w:rsidR="00416C71">
        <w:t>,</w:t>
      </w:r>
      <w:r>
        <w:t xml:space="preserve"> viszonylag sokáig kell várni. Ezt a „hátrányt” küszöböli ki az Eötvös által javasolt </w:t>
      </w:r>
      <w:r w:rsidR="00F7579B">
        <w:t>ún. Eötvös-</w:t>
      </w:r>
      <w:r>
        <w:t>mérleg</w:t>
      </w:r>
      <w:r w:rsidR="00F7579B">
        <w:t xml:space="preserve">, amellyel a Coriolis-erő hatása </w:t>
      </w:r>
      <w:r w:rsidR="00346AB8">
        <w:t xml:space="preserve">egy rezonancia jelenség révén </w:t>
      </w:r>
      <w:r w:rsidR="00F7579B">
        <w:t>sokkal gyorsabban is kimutatható</w:t>
      </w:r>
      <w:r>
        <w:t>. A mérési feladat egy némiképpen átalak</w:t>
      </w:r>
      <w:r w:rsidR="00F7579B">
        <w:t>ított Eötvös mérlegen történik.</w:t>
      </w:r>
    </w:p>
    <w:p w:rsidR="00FB4CD4" w:rsidRDefault="009D4A70" w:rsidP="007D6D63">
      <w:pPr>
        <w:jc w:val="both"/>
      </w:pPr>
      <w:r>
        <w:t xml:space="preserve"> </w:t>
      </w:r>
    </w:p>
    <w:p w:rsidR="00FB4CD4" w:rsidRDefault="00FB4CD4"/>
    <w:p w:rsidR="00FB4CD4" w:rsidRDefault="009D4A70">
      <w:pPr>
        <w:rPr>
          <w:b/>
          <w:bCs/>
        </w:rPr>
      </w:pPr>
      <w:r>
        <w:rPr>
          <w:b/>
          <w:bCs/>
        </w:rPr>
        <w:t>A mérőberendezés leírása:</w:t>
      </w:r>
    </w:p>
    <w:p w:rsidR="00FB4CD4" w:rsidRDefault="00FB4CD4"/>
    <w:p w:rsidR="00FB4CD4" w:rsidRDefault="009D4A70" w:rsidP="00C77A84">
      <w:pPr>
        <w:jc w:val="both"/>
      </w:pPr>
      <w:r>
        <w:t xml:space="preserve">A mérőberendezés egy rúd két végén elhelyezett </w:t>
      </w:r>
      <w:r w:rsidR="00D7484A">
        <w:t xml:space="preserve">két </w:t>
      </w:r>
      <w:r>
        <w:t>nagyobb tömegből áll, amely két tűcsapágyon billegni tud (továbbiakban „mérlegkarok”). A berendezés oldalán elhelyezett motorral a tűcsapágyak alsó támasztéka forgatható. A motor fordulatszáma a berendezéshez kapcsolódó elektronikával szabályozható egy pot</w:t>
      </w:r>
      <w:r w:rsidR="00346AB8">
        <w:t>encio</w:t>
      </w:r>
      <w:r>
        <w:t>méter elforgatásával. Az aktuális fordulatszám a kijelzőn megjelenik. A motor elindítása</w:t>
      </w:r>
      <w:r w:rsidR="00346AB8">
        <w:t>,</w:t>
      </w:r>
      <w:r>
        <w:t xml:space="preserve"> ill. megállítása a kék nyomógomb megnyomásával történik. Az álló motor elindításakor a motor lassan veszi fel a pot</w:t>
      </w:r>
      <w:r w:rsidR="00346AB8">
        <w:t>encio</w:t>
      </w:r>
      <w:r>
        <w:t>méterrel beállított értéket, mivel különben a tűcsapágyak kiugornának a helyükből. Ezért indítás után meg kell várni</w:t>
      </w:r>
      <w:r w:rsidR="00346AB8">
        <w:t>, amíg a kijelzőn</w:t>
      </w:r>
      <w:r>
        <w:t xml:space="preserve"> a fordulatszám „megáll”. A forgatás hatására a „mérleg” lengésbe kezd. A lengés egy</w:t>
      </w:r>
      <w:r w:rsidR="00D7484A">
        <w:t>,</w:t>
      </w:r>
      <w:r>
        <w:t xml:space="preserve"> a mérlegre középen elhelyezett tükrön visszaverődő ernyőn felfogott lézerny</w:t>
      </w:r>
      <w:r w:rsidR="00D7484A">
        <w:t>aláb elmozdulásával vizsgálható</w:t>
      </w:r>
      <w:r>
        <w:t>. A könnyebb leolvashatóság érdekében az ernyő skálával ellátott</w:t>
      </w:r>
      <w:r w:rsidR="00D7484A">
        <w:t>,</w:t>
      </w:r>
      <w:r>
        <w:t xml:space="preserve"> koncentrikus köröket tartalmaz. A berendezés fölött elhelyezett lézer az elektronikán levő fekete nyomógombbal kapcsolható be és ki. A pontos méréshez a lézernyalábnak a berendezés forgástengelyébe kell esnie. Ez a mérés megkezdése előtt be van állítva, ezért ne mozgassa el sem a berendezést</w:t>
      </w:r>
      <w:r w:rsidR="00D7484A">
        <w:t>,</w:t>
      </w:r>
      <w:r>
        <w:t xml:space="preserve"> sem a lézert tartó állványt!</w:t>
      </w:r>
    </w:p>
    <w:p w:rsidR="00FB4CD4" w:rsidRDefault="00FB4CD4" w:rsidP="00C77A84">
      <w:pPr>
        <w:jc w:val="both"/>
      </w:pPr>
    </w:p>
    <w:p w:rsidR="00FB4CD4" w:rsidRDefault="009D4A70" w:rsidP="00C77A84">
      <w:pPr>
        <w:jc w:val="both"/>
      </w:pPr>
      <w:r>
        <w:t xml:space="preserve">A lengő hengerek mellett elhelyeztünk egy-egy erős mágnest. A mágneseknek a hengerektől való távolsága két határ (11 </w:t>
      </w:r>
      <w:r w:rsidR="00D7484A">
        <w:t xml:space="preserve">mm </w:t>
      </w:r>
      <w:r>
        <w:t xml:space="preserve">és 8 mm) között változtatható. A tűcsapágyak végpontjának a mérlegkarok súlypontjától való távolsága is változtatható. Ehhez a mérlegkar leemelése után a csapágyakat óvatosan ki kell csavarni és kicserélni az előre elkészített távtartó gyűrűket. Három gyűrűpár áll rendelkezésre. Ezek </w:t>
      </w:r>
      <m:oMath>
        <m:r>
          <w:rPr>
            <w:rFonts w:ascii="Cambria Math" w:hAnsi="Cambria Math"/>
          </w:rPr>
          <m:t>s=2,35,  2,76</m:t>
        </m:r>
      </m:oMath>
      <w:r w:rsidR="00D7484A">
        <w:t>,</w:t>
      </w:r>
      <w:r>
        <w:t xml:space="preserve"> és</w:t>
      </w:r>
      <w:r w:rsidR="00D230CC">
        <w:rPr>
          <w:i/>
          <w:iCs/>
        </w:rPr>
        <w:t xml:space="preserve"> </w:t>
      </w:r>
      <m:oMath>
        <m:r>
          <w:rPr>
            <w:rFonts w:ascii="Cambria Math" w:hAnsi="Cambria Math"/>
          </w:rPr>
          <m:t>3,26</m:t>
        </m:r>
      </m:oMath>
      <w:r w:rsidR="00D230CC">
        <w:rPr>
          <w:i/>
          <w:iCs/>
        </w:rPr>
        <w:t xml:space="preserve"> </w:t>
      </w:r>
      <w:r w:rsidR="00D230CC">
        <w:rPr>
          <w:iCs/>
        </w:rPr>
        <w:t>mm</w:t>
      </w:r>
      <w:r>
        <w:t xml:space="preserve">-es súlypont forgástengely távolságokat állítanak be. Az induláskor a </w:t>
      </w:r>
      <m:oMath>
        <m:r>
          <w:rPr>
            <w:rFonts w:ascii="Cambria Math" w:hAnsi="Cambria Math"/>
          </w:rPr>
          <m:t>2,76</m:t>
        </m:r>
      </m:oMath>
      <w:r w:rsidR="00D230CC">
        <w:rPr>
          <w:i/>
          <w:iCs/>
        </w:rPr>
        <w:t xml:space="preserve"> </w:t>
      </w:r>
      <w:r w:rsidR="00D230CC">
        <w:rPr>
          <w:iCs/>
        </w:rPr>
        <w:t>mm</w:t>
      </w:r>
      <w:r>
        <w:t>-es van beszerelve.</w:t>
      </w:r>
    </w:p>
    <w:p w:rsidR="00FB4CD4" w:rsidRDefault="00FB4CD4" w:rsidP="00C77A84">
      <w:pPr>
        <w:jc w:val="both"/>
      </w:pPr>
    </w:p>
    <w:p w:rsidR="00FB4CD4" w:rsidRDefault="009D4A70">
      <w:pPr>
        <w:rPr>
          <w:b/>
          <w:bCs/>
        </w:rPr>
      </w:pPr>
      <w:r>
        <w:rPr>
          <w:b/>
          <w:bCs/>
        </w:rPr>
        <w:t>Figyelmeztetés:</w:t>
      </w:r>
    </w:p>
    <w:p w:rsidR="00FB4CD4" w:rsidRDefault="009D4A70">
      <w:r>
        <w:t>Bármilyen esetleges probléma esetén fo</w:t>
      </w:r>
      <w:r w:rsidR="00D230CC">
        <w:t>rduljon</w:t>
      </w:r>
      <w:r>
        <w:t xml:space="preserve"> a jelenlevő tanárokhoz!</w:t>
      </w:r>
    </w:p>
    <w:p w:rsidR="00081863" w:rsidRDefault="00081863">
      <w:pPr>
        <w:suppressAutoHyphens w:val="0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081863" w:rsidRPr="00081863" w:rsidRDefault="00081863">
      <w:pPr>
        <w:suppressAutoHyphens w:val="0"/>
        <w:rPr>
          <w:b/>
          <w:bCs/>
        </w:rPr>
      </w:pPr>
    </w:p>
    <w:p w:rsidR="00FB4CD4" w:rsidRPr="00081863" w:rsidRDefault="009D4A70" w:rsidP="00081863">
      <w:pPr>
        <w:jc w:val="center"/>
        <w:rPr>
          <w:b/>
          <w:bCs/>
          <w:sz w:val="28"/>
        </w:rPr>
      </w:pPr>
      <w:r w:rsidRPr="00081863">
        <w:rPr>
          <w:b/>
          <w:bCs/>
          <w:sz w:val="28"/>
        </w:rPr>
        <w:t>Mérési feladatok:</w:t>
      </w:r>
    </w:p>
    <w:p w:rsidR="00FB4CD4" w:rsidRDefault="00FB4CD4">
      <w:pPr>
        <w:rPr>
          <w:b/>
          <w:bCs/>
        </w:rPr>
      </w:pPr>
    </w:p>
    <w:p w:rsidR="00FB4CD4" w:rsidRDefault="009D4A70">
      <w:r>
        <w:rPr>
          <w:b/>
          <w:bCs/>
        </w:rPr>
        <w:t>1. A rendsze</w:t>
      </w:r>
      <w:r w:rsidR="00DE39E6">
        <w:rPr>
          <w:b/>
          <w:bCs/>
        </w:rPr>
        <w:t>r csillapodásának meghatározása</w:t>
      </w:r>
    </w:p>
    <w:p w:rsidR="00FB4CD4" w:rsidRDefault="009D4A70" w:rsidP="00D230CC">
      <w:pPr>
        <w:jc w:val="both"/>
      </w:pPr>
      <w:r>
        <w:t>A forgatás nélküli esetben a mérlegk</w:t>
      </w:r>
      <w:r w:rsidR="00D230CC">
        <w:t>ar csillapodó rezgőmozgást végez</w:t>
      </w:r>
      <w:r>
        <w:t xml:space="preserve">. Az </w:t>
      </w:r>
      <w:r>
        <w:rPr>
          <w:i/>
          <w:iCs/>
        </w:rPr>
        <w:t>n</w:t>
      </w:r>
      <w:r w:rsidR="00C77A84">
        <w:t>-</w:t>
      </w:r>
      <w:r>
        <w:t xml:space="preserve">ik rezgés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i/>
          <w:iCs/>
        </w:rPr>
        <w:t xml:space="preserve"> </w:t>
      </w:r>
      <w:r w:rsidR="00D230CC">
        <w:t>maximális kitérése az</w:t>
      </w:r>
    </w:p>
    <w:p w:rsidR="00FB4CD4" w:rsidRDefault="00DE39E6" w:rsidP="00D230CC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-nβT</m:t>
              </m:r>
            </m:sup>
          </m:sSup>
        </m:oMath>
      </m:oMathPara>
    </w:p>
    <w:p w:rsidR="00FB4CD4" w:rsidRDefault="009D4A70" w:rsidP="00D230CC">
      <w:pPr>
        <w:jc w:val="both"/>
      </w:pPr>
      <w:r>
        <w:t xml:space="preserve">képlettel adható meg, ahol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D230CC">
        <w:rPr>
          <w:iCs/>
        </w:rPr>
        <w:t xml:space="preserve"> </w:t>
      </w:r>
      <w:r>
        <w:t xml:space="preserve">a nulladik rezgés amplitúdója, </w:t>
      </w:r>
      <w:r>
        <w:rPr>
          <w:i/>
          <w:iCs/>
        </w:rPr>
        <w:t xml:space="preserve">T </w:t>
      </w:r>
      <w:r>
        <w:t xml:space="preserve">a rezgés </w:t>
      </w:r>
      <w:r w:rsidR="00D230CC">
        <w:t>periódus ideje</w:t>
      </w:r>
      <w:r>
        <w:t xml:space="preserve">, β a csillapítási tényező és </w:t>
      </w:r>
      <m:oMath>
        <m:r>
          <w:rPr>
            <w:rFonts w:ascii="Cambria Math" w:hAnsi="Cambria Math"/>
          </w:rPr>
          <m:t>e=2,718…</m:t>
        </m:r>
      </m:oMath>
      <w:r>
        <w:rPr>
          <w:i/>
          <w:iCs/>
        </w:rPr>
        <w:t xml:space="preserve">. </w:t>
      </w:r>
      <w:r w:rsidR="00D230CC">
        <w:t>az Euler</w:t>
      </w:r>
      <w:r>
        <w:t xml:space="preserve">-féle szám. </w:t>
      </w:r>
    </w:p>
    <w:p w:rsidR="00FB4CD4" w:rsidRDefault="009D4A70" w:rsidP="00D230CC">
      <w:pPr>
        <w:jc w:val="both"/>
      </w:pPr>
      <w:r>
        <w:t xml:space="preserve">A fenti képlet felhasználásával javasoljon módszert és mérje meg a rendszer β csillapítását! A mérést végezze el </w:t>
      </w:r>
      <m:oMath>
        <m:r>
          <w:rPr>
            <w:rFonts w:ascii="Cambria Math" w:hAnsi="Cambria Math"/>
          </w:rPr>
          <m:t>11</m:t>
        </m:r>
      </m:oMath>
      <w:r>
        <w:rPr>
          <w:i/>
          <w:iCs/>
        </w:rPr>
        <w:t xml:space="preserve"> </w:t>
      </w:r>
      <w:r>
        <w:t xml:space="preserve">és </w:t>
      </w:r>
      <m:oMath>
        <m:r>
          <w:rPr>
            <w:rFonts w:ascii="Cambria Math" w:hAnsi="Cambria Math"/>
          </w:rPr>
          <m:t>8</m:t>
        </m:r>
      </m:oMath>
      <w:r w:rsidR="00D230CC">
        <w:rPr>
          <w:i/>
          <w:iCs/>
        </w:rPr>
        <w:t xml:space="preserve"> </w:t>
      </w:r>
      <w:r w:rsidR="00D230CC">
        <w:rPr>
          <w:iCs/>
        </w:rPr>
        <w:t>mm</w:t>
      </w:r>
      <w:r>
        <w:rPr>
          <w:i/>
          <w:iCs/>
        </w:rPr>
        <w:t>-</w:t>
      </w:r>
      <w:r>
        <w:t>es mágnes távolságnál! Adjon magyarázatot arra, hogy mi okozza a csillapítás eltérő értékét a két esetben!</w:t>
      </w:r>
    </w:p>
    <w:p w:rsidR="00FB4CD4" w:rsidRDefault="00081863" w:rsidP="00081863">
      <w:pPr>
        <w:jc w:val="right"/>
      </w:pPr>
      <w:r>
        <w:t>(</w:t>
      </w:r>
      <w:r w:rsidR="009D4A70">
        <w:t>5 pont</w:t>
      </w:r>
      <w:r>
        <w:t>)</w:t>
      </w:r>
    </w:p>
    <w:p w:rsidR="00FB4CD4" w:rsidRDefault="00FB4CD4">
      <w:pPr>
        <w:rPr>
          <w:b/>
          <w:bCs/>
        </w:rPr>
      </w:pPr>
    </w:p>
    <w:p w:rsidR="00FB4CD4" w:rsidRDefault="009D4A70">
      <w:r>
        <w:rPr>
          <w:b/>
          <w:bCs/>
        </w:rPr>
        <w:t xml:space="preserve">2. </w:t>
      </w:r>
      <w:r w:rsidR="00D230CC">
        <w:rPr>
          <w:b/>
          <w:bCs/>
        </w:rPr>
        <w:t>A r</w:t>
      </w:r>
      <w:r>
        <w:rPr>
          <w:b/>
          <w:bCs/>
        </w:rPr>
        <w:t>ezonanciagörbe meghatározása</w:t>
      </w:r>
    </w:p>
    <w:p w:rsidR="00FB4CD4" w:rsidRDefault="009D4A70" w:rsidP="00D230CC">
      <w:pPr>
        <w:jc w:val="both"/>
      </w:pPr>
      <w:r>
        <w:t xml:space="preserve">A forgatás hatására a mérlegkar lengésbe jön. A bevezetőben leírtak felhasználásával adjon kvalitatív magyarázatot erre! </w:t>
      </w:r>
    </w:p>
    <w:p w:rsidR="00081863" w:rsidRDefault="00081863" w:rsidP="00081863">
      <w:pPr>
        <w:jc w:val="right"/>
      </w:pPr>
      <w:r>
        <w:t>(5 pont)</w:t>
      </w:r>
    </w:p>
    <w:p w:rsidR="00081863" w:rsidRDefault="00081863" w:rsidP="00081863">
      <w:pPr>
        <w:jc w:val="right"/>
      </w:pPr>
    </w:p>
    <w:p w:rsidR="00FB4CD4" w:rsidRDefault="009D4A70">
      <w:r>
        <w:rPr>
          <w:b/>
          <w:bCs/>
        </w:rPr>
        <w:t>3. A rezonanciagörbe meghatározása</w:t>
      </w:r>
    </w:p>
    <w:p w:rsidR="00FB4CD4" w:rsidRDefault="009D4A70" w:rsidP="00D230CC">
      <w:pPr>
        <w:jc w:val="both"/>
      </w:pPr>
      <w:r>
        <w:t xml:space="preserve">A lengés amplitúdója függ a forgatás frekvenciájától. </w:t>
      </w:r>
      <m:oMath>
        <m:r>
          <w:rPr>
            <w:rFonts w:ascii="Cambria Math" w:hAnsi="Cambria Math"/>
          </w:rPr>
          <m:t>11</m:t>
        </m:r>
      </m:oMath>
      <w:r>
        <w:t xml:space="preserve"> mm</w:t>
      </w:r>
      <w:r>
        <w:rPr>
          <w:i/>
          <w:iCs/>
        </w:rPr>
        <w:t>-</w:t>
      </w:r>
      <w:r>
        <w:t xml:space="preserve">es mágnestávolság és </w:t>
      </w:r>
      <m:oMath>
        <m:r>
          <w:rPr>
            <w:rFonts w:ascii="Cambria Math" w:hAnsi="Cambria Math"/>
          </w:rPr>
          <m:t>s=2,76</m:t>
        </m:r>
      </m:oMath>
      <w:r>
        <w:rPr>
          <w:i/>
          <w:iCs/>
        </w:rPr>
        <w:t xml:space="preserve"> </w:t>
      </w:r>
      <w:r>
        <w:rPr>
          <w:iCs/>
        </w:rPr>
        <w:t>mm</w:t>
      </w:r>
      <w:r>
        <w:t xml:space="preserve"> mellett vegye fel a rezgés amplitúdójának a forgatási szögsebességtől való függését! A m</w:t>
      </w:r>
      <w:r w:rsidR="00D230CC">
        <w:t>érést a következőképpen végezze:</w:t>
      </w:r>
      <w:r>
        <w:t xml:space="preserve"> Forgatás közben a lengés hatására az ernyőn egy olyan kettős kör jelenik meg, amely egy ponton összeér. A rezgés amplitúdójának növekedésével a kisebb kör átmérője nő. A forgatási szögsebességet lassan változtatva keresse meg a legnagyobb amplitúdóhoz tartozó forgatási sebességet! Figyeljen rá, hogy az állandó amplitúdó kialakulásához akár 1 perc is szükséges! Ekkor még nem szükséges a pontos frekvencia meghatározása, ez a mérés tájékoztató jellegű. Ezután a rezonanciagörbe felvételét úgy végezze, hogy az előző frekvencia körül pozitív és negatív irányban 10 fordulat/perc egységekben 5-5 pontban állítsa be a forgatási frekvenciát! Várja meg, amíg beáll az egyensúlyi állapot, majd a kék gomb benyomásával állítsa le a forgatást és az ernyőn gyorsan olvassa le a rezgés amplitúdóját!</w:t>
      </w:r>
    </w:p>
    <w:p w:rsidR="00FB4CD4" w:rsidRDefault="009D4A70" w:rsidP="00D230CC">
      <w:pPr>
        <w:jc w:val="both"/>
      </w:pPr>
      <w:r>
        <w:t>A kapott amplitúdó-frekvencia összefüggést ábrázolja grafikusan és állapítsa meg a rezonanciafrekvenciát!</w:t>
      </w:r>
    </w:p>
    <w:p w:rsidR="00081863" w:rsidRDefault="00081863" w:rsidP="00081863">
      <w:pPr>
        <w:jc w:val="right"/>
      </w:pPr>
      <w:r>
        <w:t>(8 pont)</w:t>
      </w:r>
    </w:p>
    <w:p w:rsidR="00FB4CD4" w:rsidRDefault="00FB4CD4" w:rsidP="00D230CC">
      <w:pPr>
        <w:jc w:val="both"/>
      </w:pPr>
    </w:p>
    <w:p w:rsidR="00FB4CD4" w:rsidRDefault="009D4A70">
      <w:r>
        <w:rPr>
          <w:b/>
          <w:bCs/>
        </w:rPr>
        <w:t xml:space="preserve">4. A csillapítás hatása </w:t>
      </w:r>
    </w:p>
    <w:p w:rsidR="00FB4CD4" w:rsidRDefault="009D4A70" w:rsidP="00D230CC">
      <w:pPr>
        <w:jc w:val="both"/>
      </w:pPr>
      <w:r>
        <w:t>A mérést ismételje meg</w:t>
      </w:r>
      <w:r>
        <w:rPr>
          <w:i/>
          <w:iCs/>
        </w:rPr>
        <w:t xml:space="preserve"> </w:t>
      </w:r>
      <m:oMath>
        <m:r>
          <w:rPr>
            <w:rFonts w:ascii="Cambria Math" w:hAnsi="Cambria Math"/>
          </w:rPr>
          <m:t>8</m:t>
        </m:r>
      </m:oMath>
      <w:r>
        <w:rPr>
          <w:i/>
          <w:iCs/>
        </w:rPr>
        <w:t xml:space="preserve"> </w:t>
      </w:r>
      <w:r>
        <w:rPr>
          <w:iCs/>
        </w:rPr>
        <w:t>mm</w:t>
      </w:r>
      <w:r>
        <w:t>-es mágnestávolságnál! Értelmezze mit tapasztalt!</w:t>
      </w:r>
    </w:p>
    <w:p w:rsidR="00081863" w:rsidRDefault="00081863" w:rsidP="00081863">
      <w:pPr>
        <w:jc w:val="right"/>
      </w:pPr>
      <w:r>
        <w:t>(10 pont)</w:t>
      </w:r>
    </w:p>
    <w:p w:rsidR="00FB4CD4" w:rsidRDefault="00FB4CD4"/>
    <w:p w:rsidR="00FB4CD4" w:rsidRDefault="00DE39E6">
      <w:r>
        <w:rPr>
          <w:b/>
          <w:bCs/>
        </w:rPr>
        <w:t>5. A súlypont távolság hatása</w:t>
      </w:r>
      <w:bookmarkStart w:id="0" w:name="_GoBack"/>
      <w:bookmarkEnd w:id="0"/>
    </w:p>
    <w:p w:rsidR="00FB4CD4" w:rsidRDefault="009D4A70" w:rsidP="00D230CC">
      <w:pPr>
        <w:jc w:val="both"/>
      </w:pPr>
      <w:r>
        <w:rPr>
          <w:iCs/>
        </w:rPr>
        <w:t>11 mm</w:t>
      </w:r>
      <w:r>
        <w:t>-es mágnes távolságnál az</w:t>
      </w:r>
      <w:r>
        <w:rPr>
          <w:i/>
          <w:iCs/>
        </w:rPr>
        <w:t xml:space="preserve"> </w:t>
      </w:r>
      <m:oMath>
        <m:r>
          <w:rPr>
            <w:rFonts w:ascii="Cambria Math" w:hAnsi="Cambria Math"/>
          </w:rPr>
          <m:t>s=2,36</m:t>
        </m:r>
      </m:oMath>
      <w:r>
        <w:rPr>
          <w:iCs/>
        </w:rPr>
        <w:t xml:space="preserve"> és </w:t>
      </w:r>
      <m:oMath>
        <m:r>
          <w:rPr>
            <w:rFonts w:ascii="Cambria Math" w:hAnsi="Cambria Math"/>
          </w:rPr>
          <m:t>3,26</m:t>
        </m:r>
      </m:oMath>
      <w:r>
        <w:rPr>
          <w:iCs/>
        </w:rPr>
        <w:t xml:space="preserve"> mm</w:t>
      </w:r>
      <w:r>
        <w:t xml:space="preserve">-es esetre is ismételje meg a mérést. Ehhez szerelje be a megfelelő távtartókat. Itt elegendő már csak </w:t>
      </w:r>
      <m:oMath>
        <m:r>
          <w:rPr>
            <w:rFonts w:ascii="Cambria Math" w:hAnsi="Cambria Math"/>
          </w:rPr>
          <m:t>2×3</m:t>
        </m:r>
      </m:oMath>
      <w:r>
        <w:t xml:space="preserve"> pontban mérni a rezonanciafrekvencia megkeresése után. Állapítsa meg, hogyan függ a rezonanciafrekvencia </w:t>
      </w:r>
      <m:oMath>
        <m:r>
          <w:rPr>
            <w:rFonts w:ascii="Cambria Math" w:hAnsi="Cambria Math"/>
          </w:rPr>
          <m:t>s</m:t>
        </m:r>
      </m:oMath>
      <w:r>
        <w:t>-től!</w:t>
      </w:r>
    </w:p>
    <w:p w:rsidR="00081863" w:rsidRDefault="00081863" w:rsidP="00081863">
      <w:pPr>
        <w:jc w:val="right"/>
      </w:pPr>
      <w:r>
        <w:t>(12 pont)</w:t>
      </w:r>
    </w:p>
    <w:p w:rsidR="00FB4CD4" w:rsidRDefault="00FB4CD4"/>
    <w:p w:rsidR="00FB4CD4" w:rsidRDefault="009D4A70" w:rsidP="00081863">
      <w:pPr>
        <w:jc w:val="both"/>
        <w:rPr>
          <w:i/>
        </w:rPr>
      </w:pPr>
      <w:r>
        <w:rPr>
          <w:i/>
        </w:rPr>
        <w:t xml:space="preserve">A mérés elvégzéséhez 4 óra áll rendelkezésre. A feladatok megoldásához számítógép és telekommunikációs eszköz kivételével bármilyen segédeszköz használható. Ha valamelyik eszközzel problémája van, forduljon a felügyelő tanárhoz. </w:t>
      </w:r>
    </w:p>
    <w:p w:rsidR="00FB4CD4" w:rsidRPr="00081863" w:rsidRDefault="00081863" w:rsidP="00081863">
      <w:pPr>
        <w:tabs>
          <w:tab w:val="left" w:pos="2610"/>
        </w:tabs>
        <w:spacing w:before="240" w:after="600"/>
        <w:jc w:val="center"/>
        <w:rPr>
          <w:b/>
          <w:sz w:val="28"/>
        </w:rPr>
      </w:pPr>
      <w:r>
        <w:rPr>
          <w:b/>
          <w:sz w:val="28"/>
        </w:rPr>
        <w:t>EREDMÉNYES VERSENYZÉST KÍVÁNUNK!</w:t>
      </w:r>
    </w:p>
    <w:sectPr w:rsidR="00FB4CD4" w:rsidRPr="0008186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66" w:right="1418" w:bottom="766" w:left="1418" w:header="709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71B" w:rsidRDefault="009D4A70">
      <w:r>
        <w:separator/>
      </w:r>
    </w:p>
  </w:endnote>
  <w:endnote w:type="continuationSeparator" w:id="0">
    <w:p w:rsidR="00A5771B" w:rsidRDefault="009D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;Times New Roma"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D4" w:rsidRDefault="009D4A70" w:rsidP="00081863">
    <w:pPr>
      <w:pStyle w:val="llb"/>
      <w:pBdr>
        <w:top w:val="single" w:sz="4" w:space="1" w:color="000001"/>
      </w:pBdr>
    </w:pPr>
    <w:r>
      <w:t>OKTV 2018/2019</w:t>
    </w:r>
    <w:r>
      <w:tab/>
    </w:r>
    <w:r>
      <w:fldChar w:fldCharType="begin"/>
    </w:r>
    <w:r>
      <w:instrText>PAGE</w:instrText>
    </w:r>
    <w:r>
      <w:fldChar w:fldCharType="separate"/>
    </w:r>
    <w:r w:rsidR="00DE39E6">
      <w:rPr>
        <w:noProof/>
      </w:rPr>
      <w:t>2</w:t>
    </w:r>
    <w:r>
      <w:fldChar w:fldCharType="end"/>
    </w:r>
    <w:r>
      <w:tab/>
      <w:t>Döntő forduló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863" w:rsidRDefault="00081863" w:rsidP="00081863">
    <w:pPr>
      <w:pStyle w:val="llb"/>
      <w:pBdr>
        <w:top w:val="single" w:sz="4" w:space="1" w:color="000001"/>
      </w:pBdr>
    </w:pPr>
    <w:r>
      <w:t>OKTV 2018/2019</w:t>
    </w:r>
    <w:r>
      <w:tab/>
    </w:r>
    <w:r>
      <w:fldChar w:fldCharType="begin"/>
    </w:r>
    <w:r>
      <w:instrText>PAGE</w:instrText>
    </w:r>
    <w:r>
      <w:fldChar w:fldCharType="separate"/>
    </w:r>
    <w:r w:rsidR="00DE39E6">
      <w:rPr>
        <w:noProof/>
      </w:rPr>
      <w:t>1</w:t>
    </w:r>
    <w:r>
      <w:fldChar w:fldCharType="end"/>
    </w:r>
    <w:r>
      <w:tab/>
      <w:t>Döntő forduló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71B" w:rsidRDefault="009D4A70">
      <w:r>
        <w:separator/>
      </w:r>
    </w:p>
  </w:footnote>
  <w:footnote w:type="continuationSeparator" w:id="0">
    <w:p w:rsidR="00A5771B" w:rsidRDefault="009D4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D4" w:rsidRDefault="009D4A70">
    <w:pPr>
      <w:pStyle w:val="lfej"/>
      <w:pBdr>
        <w:bottom w:val="single" w:sz="4" w:space="1" w:color="000001"/>
      </w:pBdr>
    </w:pPr>
    <w:r>
      <w:t>Fizika I. kategória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jc w:val="center"/>
      <w:tblBorders>
        <w:bottom w:val="thinThickSmallGap" w:sz="24" w:space="0" w:color="auto"/>
      </w:tblBorders>
      <w:tblLook w:val="01E0" w:firstRow="1" w:lastRow="1" w:firstColumn="1" w:lastColumn="1" w:noHBand="0" w:noVBand="0"/>
    </w:tblPr>
    <w:tblGrid>
      <w:gridCol w:w="851"/>
      <w:gridCol w:w="8221"/>
    </w:tblGrid>
    <w:tr w:rsidR="00CE5399" w:rsidRPr="008F3A3B" w:rsidTr="009C7958">
      <w:trPr>
        <w:jc w:val="center"/>
      </w:trPr>
      <w:tc>
        <w:tcPr>
          <w:tcW w:w="851" w:type="dxa"/>
        </w:tcPr>
        <w:p w:rsidR="00CE5399" w:rsidRPr="008F3A3B" w:rsidRDefault="00CE5399" w:rsidP="00CE5399">
          <w:pPr>
            <w:rPr>
              <w:b/>
              <w:color w:val="000000"/>
              <w:sz w:val="28"/>
              <w:szCs w:val="28"/>
            </w:rPr>
          </w:pPr>
          <w:r w:rsidRPr="00154A10">
            <w:rPr>
              <w:noProof/>
              <w:lang w:eastAsia="hu-HU"/>
            </w:rPr>
            <w:drawing>
              <wp:inline distT="0" distB="0" distL="0" distR="0" wp14:anchorId="3D386F10" wp14:editId="39099174">
                <wp:extent cx="382905" cy="648335"/>
                <wp:effectExtent l="0" t="0" r="0" b="0"/>
                <wp:docPr id="48" name="Kép 49" descr="ohokev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9" descr="ohokev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90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:rsidR="00CE5399" w:rsidRPr="008F3A3B" w:rsidRDefault="00CE5399" w:rsidP="00CE5399">
          <w:pPr>
            <w:rPr>
              <w:b/>
              <w:color w:val="000000"/>
              <w:sz w:val="28"/>
              <w:szCs w:val="28"/>
            </w:rPr>
          </w:pPr>
          <w:r>
            <w:rPr>
              <w:rFonts w:ascii="Bodoni MT" w:hAnsi="Bodoni MT" w:cs="Arial"/>
              <w:b/>
              <w:spacing w:val="46"/>
              <w:sz w:val="44"/>
              <w:szCs w:val="44"/>
            </w:rPr>
            <w:t>Oktatási Hivatal</w:t>
          </w:r>
        </w:p>
      </w:tc>
    </w:tr>
  </w:tbl>
  <w:p w:rsidR="00FB4CD4" w:rsidRDefault="00FB4CD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D4"/>
    <w:rsid w:val="00081863"/>
    <w:rsid w:val="00346AB8"/>
    <w:rsid w:val="00416C71"/>
    <w:rsid w:val="007D6D63"/>
    <w:rsid w:val="009D4A70"/>
    <w:rsid w:val="00A5771B"/>
    <w:rsid w:val="00C4500C"/>
    <w:rsid w:val="00C77A84"/>
    <w:rsid w:val="00CE5399"/>
    <w:rsid w:val="00D230CC"/>
    <w:rsid w:val="00D7484A"/>
    <w:rsid w:val="00DE39E6"/>
    <w:rsid w:val="00F7579B"/>
    <w:rsid w:val="00FB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912F"/>
  <w15:docId w15:val="{7EFCA1A6-D97C-4BF3-AABB-3D4C5410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/>
      <w:i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b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cs="Times New Roman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Symbol" w:hAnsi="Symbol" w:cs="Symbol"/>
      <w:sz w:val="20"/>
    </w:rPr>
  </w:style>
  <w:style w:type="character" w:customStyle="1" w:styleId="WW8Num38z1">
    <w:name w:val="WW8Num38z1"/>
    <w:qFormat/>
    <w:rPr>
      <w:rFonts w:ascii="Courier New" w:hAnsi="Courier New" w:cs="Courier New"/>
      <w:sz w:val="20"/>
    </w:rPr>
  </w:style>
  <w:style w:type="character" w:customStyle="1" w:styleId="WW8Num38z2">
    <w:name w:val="WW8Num38z2"/>
    <w:qFormat/>
    <w:rPr>
      <w:rFonts w:ascii="Wingdings" w:hAnsi="Wingdings" w:cs="Wingdings"/>
      <w:sz w:val="20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zleshasbChar">
    <w:name w:val="!Széles hasáb Char"/>
    <w:qFormat/>
    <w:rPr>
      <w:sz w:val="21"/>
      <w:szCs w:val="21"/>
      <w:lang w:val="hu-HU" w:bidi="ar-SA"/>
    </w:rPr>
  </w:style>
  <w:style w:type="character" w:customStyle="1" w:styleId="apple-style-span">
    <w:name w:val="apple-style-span"/>
    <w:basedOn w:val="Bekezdsalapbettpusa"/>
    <w:qFormat/>
  </w:style>
  <w:style w:type="character" w:customStyle="1" w:styleId="apple-tab-span">
    <w:name w:val="apple-tab-span"/>
    <w:basedOn w:val="Bekezdsalapbettpusa"/>
    <w:qFormat/>
  </w:style>
  <w:style w:type="character" w:styleId="Oldalszm">
    <w:name w:val="page number"/>
    <w:basedOn w:val="Bekezdsalapbettpusa"/>
  </w:style>
  <w:style w:type="character" w:customStyle="1" w:styleId="lfejChar">
    <w:name w:val="Élőfej Char"/>
    <w:qFormat/>
    <w:rPr>
      <w:sz w:val="24"/>
      <w:szCs w:val="24"/>
    </w:rPr>
  </w:style>
  <w:style w:type="character" w:customStyle="1" w:styleId="llbChar">
    <w:name w:val="Élőláb Char"/>
    <w:qFormat/>
    <w:rPr>
      <w:sz w:val="24"/>
      <w:szCs w:val="24"/>
    </w:rPr>
  </w:style>
  <w:style w:type="character" w:customStyle="1" w:styleId="BuborkszvegChar">
    <w:name w:val="Buborékszöveg Char"/>
    <w:qFormat/>
    <w:rPr>
      <w:rFonts w:ascii="Tahoma" w:hAnsi="Tahoma" w:cs="Tahoma"/>
      <w:sz w:val="16"/>
      <w:szCs w:val="16"/>
    </w:rPr>
  </w:style>
  <w:style w:type="character" w:customStyle="1" w:styleId="Szvegtrzs2Char">
    <w:name w:val="Szövegtörzs 2 Char"/>
    <w:qFormat/>
    <w:rPr>
      <w:sz w:val="24"/>
      <w:szCs w:val="24"/>
    </w:rPr>
  </w:style>
  <w:style w:type="character" w:customStyle="1" w:styleId="dokulink">
    <w:name w:val="dokulink"/>
    <w:qFormat/>
  </w:style>
  <w:style w:type="character" w:customStyle="1" w:styleId="StrongEmphasis">
    <w:name w:val="Strong Emphasis"/>
    <w:qFormat/>
    <w:rPr>
      <w:rFonts w:cs="Times New Roman"/>
      <w:b/>
      <w:bCs/>
    </w:rPr>
  </w:style>
  <w:style w:type="character" w:customStyle="1" w:styleId="CmChar">
    <w:name w:val="Cím Char"/>
    <w:qFormat/>
    <w:rPr>
      <w:b/>
      <w:sz w:val="72"/>
    </w:rPr>
  </w:style>
  <w:style w:type="paragraph" w:customStyle="1" w:styleId="Heading">
    <w:name w:val="Heading"/>
    <w:basedOn w:val="Norml"/>
    <w:next w:val="Szvegtrzs"/>
    <w:qFormat/>
    <w:pPr>
      <w:jc w:val="center"/>
    </w:pPr>
    <w:rPr>
      <w:b/>
      <w:sz w:val="72"/>
      <w:szCs w:val="20"/>
    </w:rPr>
  </w:style>
  <w:style w:type="paragraph" w:styleId="Szvegtrzs">
    <w:name w:val="Body Text"/>
    <w:basedOn w:val="Norml"/>
    <w:pPr>
      <w:jc w:val="both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next w:val="Norml"/>
    <w:qFormat/>
    <w:rPr>
      <w:b/>
      <w:bCs/>
      <w:sz w:val="20"/>
      <w:szCs w:val="20"/>
    </w:rPr>
  </w:style>
  <w:style w:type="paragraph" w:customStyle="1" w:styleId="Index">
    <w:name w:val="Index"/>
    <w:basedOn w:val="Norml"/>
    <w:qFormat/>
    <w:pPr>
      <w:suppressLineNumbers/>
    </w:pPr>
    <w:rPr>
      <w:rFonts w:cs="FreeSans"/>
    </w:rPr>
  </w:style>
  <w:style w:type="paragraph" w:customStyle="1" w:styleId="Szleshasb">
    <w:name w:val="!Széles hasáb"/>
    <w:basedOn w:val="Norml"/>
    <w:qFormat/>
    <w:pPr>
      <w:jc w:val="both"/>
    </w:pPr>
    <w:rPr>
      <w:sz w:val="21"/>
      <w:szCs w:val="21"/>
    </w:rPr>
  </w:style>
  <w:style w:type="paragraph" w:styleId="NormlWeb">
    <w:name w:val="Normal (Web)"/>
    <w:basedOn w:val="Norml"/>
    <w:qFormat/>
    <w:pPr>
      <w:spacing w:before="280" w:after="280"/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qFormat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qFormat/>
    <w:pPr>
      <w:spacing w:after="120" w:line="480" w:lineRule="auto"/>
    </w:pPr>
  </w:style>
  <w:style w:type="paragraph" w:styleId="Listaszerbekezds">
    <w:name w:val="List Paragraph"/>
    <w:basedOn w:val="Norml"/>
    <w:qFormat/>
    <w:pPr>
      <w:ind w:left="720"/>
      <w:contextualSpacing/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styleId="Helyrzszveg">
    <w:name w:val="Placeholder Text"/>
    <w:basedOn w:val="Bekezdsalapbettpusa"/>
    <w:uiPriority w:val="99"/>
    <w:semiHidden/>
    <w:rsid w:val="00C450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957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KÖZÖS FELADATOK</vt:lpstr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KÖZÖS FELADATOK</dc:title>
  <dc:subject/>
  <dc:creator>eszasz</dc:creator>
  <dc:description/>
  <cp:lastModifiedBy>Átvétel</cp:lastModifiedBy>
  <cp:revision>4</cp:revision>
  <cp:lastPrinted>2019-04-09T13:15:00Z</cp:lastPrinted>
  <dcterms:created xsi:type="dcterms:W3CDTF">2019-04-09T13:04:00Z</dcterms:created>
  <dcterms:modified xsi:type="dcterms:W3CDTF">2019-04-09T13:28:00Z</dcterms:modified>
  <dc:language>hu-HU</dc:language>
</cp:coreProperties>
</file>