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 2022/2023. tanévi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Országos Középiskolai Tanulmányi Verseny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döntő forduló </w:t>
      </w:r>
    </w:p>
    <w:p>
      <w:pPr>
        <w:pStyle w:val="Normal"/>
        <w:spacing w:before="240" w:after="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fizika I. KATEGÓRIA</w:t>
      </w:r>
    </w:p>
    <w:p>
      <w:pPr>
        <w:pStyle w:val="Normal"/>
        <w:spacing w:before="240" w:after="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Megoldási útmutató </w:t>
      </w:r>
    </w:p>
    <w:p>
      <w:pPr>
        <w:pStyle w:val="Normal"/>
        <w:spacing w:before="240" w:after="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spacing w:before="120" w:after="12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Feladatok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 xml:space="preserve">A mérés során két függőleges tengelyű koncentrikus henger között elhelyezett folyadék ill. granuláris anyag tulajdonságait vizsgáljuk úgy, hogy a belső hengert egy adott sugarú vízszintes koronghoz kötött fonálban fellépő erővel forgásba hozzuk. A koronghoz kötött fonál két álló csigán átvetve függőlegesen lelóg. A kötélben fellépő erőt a fonal végére akasztott súllyal biztosítjuk.   A mérés során tulajdonképpen ennek a súlynak a mozgását tudjuk vizsgálni különböző esetekben.   Minden mérés megkezdése előtt a kötelet tekerjük fel addig, hogy a kiválasztott súly alja a földtől 160 cm-re legyen. A magasságot a kötél mellett elhelyezett mérőrúdon látjuk. 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 xml:space="preserve">A mérések során stopperórával mérjük az elengedett súly adott hosszúságú mozgásához szükséges időt (a tényleges méréseket a z alább megadott feladatokban adjuk meg.) 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>A mérés elméleti alapja az, hogy a folyadékban fellépő súrlódás következtében ahhoz, hogy a belső</w:t>
      </w:r>
      <w:r>
        <w:rPr>
          <w:rFonts w:eastAsia="Calibri" w:eastAsiaTheme="minorHAnsi"/>
          <w:i/>
          <w:iCs/>
        </w:rPr>
        <w:t xml:space="preserve"> R</w:t>
      </w:r>
      <w:r>
        <w:rPr>
          <w:rFonts w:eastAsia="Calibri" w:eastAsiaTheme="minorHAnsi"/>
          <w:i/>
          <w:iCs/>
          <w:vertAlign w:val="subscript"/>
        </w:rPr>
        <w:t>1</w:t>
      </w:r>
      <w:r>
        <w:rPr>
          <w:rFonts w:eastAsia="Calibri" w:eastAsiaTheme="minorHAnsi"/>
        </w:rPr>
        <w:t xml:space="preserve"> hengert ω szögsebességgel forgassuk   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center"/>
        <w:rPr>
          <w:rFonts w:eastAsia="Calibri" w:eastAsiaTheme="minorHAnsi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πηω</m:t>
            </m:r>
            <m:sSub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sSub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</m:num>
          <m:den>
            <m:sSub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r>
              <w:rPr>
                <w:rFonts w:ascii="Cambria Math" w:hAnsi="Cambria Math"/>
              </w:rPr>
              <m:t xml:space="preserve">−</m:t>
            </m:r>
            <m:sSub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</m:den>
        </m:f>
        <m:r>
          <w:rPr>
            <w:rFonts w:ascii="Cambria Math" w:hAnsi="Cambria Math"/>
          </w:rPr>
          <m:t xml:space="preserve">h</m:t>
        </m:r>
      </m:oMath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 xml:space="preserve">forgatónyomatékra van szükség, ahol </w:t>
      </w:r>
      <w:r>
        <w:rPr>
          <w:rFonts w:eastAsia="Calibri" w:eastAsiaTheme="minorHAnsi"/>
          <w:i/>
          <w:iCs/>
        </w:rPr>
        <w:t>R</w:t>
      </w:r>
      <w:r>
        <w:rPr>
          <w:rFonts w:eastAsia="Calibri" w:eastAsiaTheme="minorHAnsi"/>
          <w:i/>
          <w:iCs/>
          <w:vertAlign w:val="subscript"/>
        </w:rPr>
        <w:t xml:space="preserve">2 </w:t>
      </w:r>
      <w:r>
        <w:rPr>
          <w:rFonts w:eastAsia="Calibri" w:eastAsiaTheme="minorHAnsi"/>
        </w:rPr>
        <w:t xml:space="preserve">a külső álló henger sugara, </w:t>
      </w:r>
      <w:r>
        <w:rPr>
          <w:rFonts w:eastAsia="Calibri" w:eastAsiaTheme="minorHAnsi"/>
          <w:i/>
          <w:iCs/>
        </w:rPr>
        <w:t xml:space="preserve">h </w:t>
      </w:r>
      <w:r>
        <w:rPr>
          <w:rFonts w:eastAsia="Calibri" w:eastAsiaTheme="minorHAnsi"/>
        </w:rPr>
        <w:t xml:space="preserve">a folyadék magassága, </w:t>
      </w:r>
      <w:r>
        <w:rPr>
          <w:rFonts w:eastAsia="Calibri" w:eastAsiaTheme="minorHAnsi"/>
          <w:i/>
          <w:iCs/>
        </w:rPr>
        <w:t>η</w:t>
      </w:r>
      <w:r>
        <w:rPr>
          <w:rFonts w:eastAsia="Calibri" w:eastAsiaTheme="minorHAnsi"/>
        </w:rPr>
        <w:t xml:space="preserve"> pedig a folyadék viszkozitása. A lentiekben megadott mérési feladatokban a viszkozitás értékének a mérési adatokból történő kiszámításához ezt a képletet használjuk! 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A mérések elvégzéséhez 3 különböző átmérőjű cserélhető vízzel töltött belső henger áll rendelkezésre. A hengereket többször cserélni kell. Ehhez először csavarja le a tengelyt rögzítő lap tetején látható 3 szárnyas anyát. Majd csavarja ki a henger tetején található réz rögzítő csavart. Ezután a hengert le tudja csavarni a tengelyről. Az új hengert ezután értelem szerűen be tudja szerelni. A hengerek vízzel fel vannak töltve. Ha véletlenül kifolyna, szóljon a segítő tanárnak!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 xml:space="preserve">A mérés során szükséges lesz a külső PVC hengerből a maradék folyadék kiöntésére. Ehhez vegye ki a forgó hengert, majd a PVC hengert rögzítő 2 szárnyas anya lecsavarása után a hengert ki tudja emelni.    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  <w:b/>
          <w:bCs/>
        </w:rPr>
        <w:t>A mérés elvégzéséhez szükséges adatok:</w:t>
      </w:r>
      <w:r>
        <w:rPr>
          <w:rFonts w:eastAsia="Calibri" w:eastAsiaTheme="minorHAnsi"/>
        </w:rPr>
        <w:t xml:space="preserve"> 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Hajtó henger sugara r=30mm,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külső henger sugara R</w:t>
      </w:r>
      <w:r>
        <w:rPr>
          <w:rFonts w:eastAsia="Calibri" w:eastAsiaTheme="minorHAnsi"/>
          <w:vertAlign w:val="subscript"/>
        </w:rPr>
        <w:t>2</w:t>
      </w:r>
      <w:r>
        <w:rPr>
          <w:rFonts w:eastAsia="Calibri" w:eastAsiaTheme="minorHAnsi"/>
        </w:rPr>
        <w:t xml:space="preserve">=54,5 mm, 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kis henger sugara R</w:t>
      </w:r>
      <w:r>
        <w:rPr>
          <w:rFonts w:eastAsia="Calibri" w:eastAsiaTheme="minorHAnsi"/>
          <w:vertAlign w:val="subscript"/>
        </w:rPr>
        <w:t>1</w:t>
      </w:r>
      <w:r>
        <w:rPr>
          <w:rFonts w:eastAsia="Calibri" w:eastAsiaTheme="minorHAnsi"/>
        </w:rPr>
        <w:t>=30 mm, közepes henger sugara R</w:t>
      </w:r>
      <w:r>
        <w:rPr>
          <w:rFonts w:eastAsia="Calibri" w:eastAsiaTheme="minorHAnsi"/>
          <w:vertAlign w:val="subscript"/>
        </w:rPr>
        <w:t>1</w:t>
      </w:r>
      <w:r>
        <w:rPr>
          <w:rFonts w:eastAsia="Calibri" w:eastAsiaTheme="minorHAnsi"/>
        </w:rPr>
        <w:t>=35 mm, nagy henger sugara R</w:t>
      </w:r>
      <w:r>
        <w:rPr>
          <w:rFonts w:eastAsia="Calibri" w:eastAsiaTheme="minorHAnsi"/>
          <w:vertAlign w:val="subscript"/>
        </w:rPr>
        <w:t>1</w:t>
      </w:r>
      <w:r>
        <w:rPr>
          <w:rFonts w:eastAsia="Calibri" w:eastAsiaTheme="minorHAnsi"/>
        </w:rPr>
        <w:t xml:space="preserve">=40mm, 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hengerek magassága l=100 mm,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8-as csavar tömege 4,4g, 6-os csavar tömege 2.05g, nagy kampó tömege 5.2 g.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  <w:t>Mérési feladatok: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1. Határozza meg a legnagyobb henger szöggyorsulását! Ehhez szerelje be a legnagyobb hengert. A mellékelt nagy kampóra tegyen 3 db 8-cas anyát! Mérje meg a súlynak 60, 100, 160 cm megtételéhez szükséges idejét. A mérést mindig a rúdon a legfelső jeltől indítsa! Minden mérést többször ismételjen meg! Ha esetleg kiugróan eltérő adatot kap, azt hagyja ki! Készítsen olyan ábrát, hogy egyenes illesztéssel megkaphassa a gyorsulást! Az illesztést vonalzó segítségével végezze. Becsülje meg a hibát!</w:t>
        <w:tab/>
        <w:tab/>
        <w:tab/>
        <w:tab/>
        <w:tab/>
        <w:tab/>
        <w:tab/>
        <w:tab/>
        <w:tab/>
        <w:tab/>
        <w:t>5 pont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 xml:space="preserve">2. Ugyanezzel a hengerrel mérje meg a szöggyorsulást a ráakasztott tömeg függvényében! Használjon 3,4, ..8 db 8-cas anyát. Írja fel a henger mozgását leíró egyenletet! Vegye figyelembe a henger tengelyénél fellépő súrlódást!   Készítsen olyan ábrát, hogy egyenes illesztéssel meg tudja határozni a henger tehetetlenségi nyomatékát és a súrlódási erőt.    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ab/>
        <w:tab/>
        <w:tab/>
        <w:tab/>
        <w:tab/>
        <w:tab/>
        <w:tab/>
        <w:tab/>
        <w:tab/>
        <w:tab/>
        <w:t>6 pont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 xml:space="preserve">3. Szerelje be a kis hengert! Töltse fel a rendszert vízzel, úgy hogy a vízszint a külső henger teteje alatt 2 cm-re legyen! Ezt a mellékelt kis rúddal tudja beállítani. A nagy kampóra tegyen egy 6-os anyát! Ezzel az összeállítással mérje meg a súly 20, 40, 60, ... 160 cm megtételéhez szükséges időt! 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>Minden méréshez a súly felülről újra indítsa el! Az eredményeket egy út-idő grafikonon ábrázolja! Értelmezze a kapott eredményt! Határozza meg azt a sebességet, ami egy átmeneti idő után beáll! Határozza meg az átlagsebességet és becsülje meg mekkora a hiba, ha ezt használjuk a beálló sebesség helyett!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ab/>
        <w:tab/>
        <w:tab/>
        <w:tab/>
        <w:tab/>
        <w:tab/>
        <w:tab/>
        <w:tab/>
        <w:tab/>
        <w:tab/>
        <w:t>6 pont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>4. Mérje megy a teljes 160 cm megtételéhez szükséges időt 1, 2, 3 és 4 db  6-os anya esetén. Készítsen olyan ábrát ahol egyenes illesztéssel meg tudja határozni a víz viszkozitását a fent megadott képlet segítségével! Itt használhatja az átlagsebességet!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ab/>
        <w:tab/>
        <w:tab/>
        <w:tab/>
        <w:tab/>
        <w:tab/>
        <w:tab/>
        <w:tab/>
        <w:tab/>
        <w:tab/>
        <w:t>6 pont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>5. 4 db 6-os anya használatával ismételje meg a mérést a másik két hengerrel is! Mennyire teljesül a fenti képletben megadott R</w:t>
      </w:r>
      <w:r>
        <w:rPr>
          <w:rFonts w:eastAsia="Calibri" w:eastAsiaTheme="minorHAnsi"/>
          <w:vertAlign w:val="subscript"/>
        </w:rPr>
        <w:t>1</w:t>
      </w:r>
      <w:r>
        <w:rPr>
          <w:rFonts w:eastAsia="Calibri" w:eastAsiaTheme="minorHAnsi"/>
        </w:rPr>
        <w:t xml:space="preserve"> függés? 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ab/>
        <w:tab/>
        <w:tab/>
        <w:tab/>
        <w:tab/>
        <w:tab/>
        <w:tab/>
        <w:tab/>
        <w:tab/>
        <w:tab/>
        <w:t>6 pont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 xml:space="preserve">6. Ismételje meg az előző mérést a mosogatószerre is! Itt is a külső henger tetejétől 2cm-ig töltse fel a rendszert! Először a legnagyobb, majd a közepes végül a legkisebb hengert használja! Mindegyik méréshez használja az 50g-os súlyokat! 50, 100, .. 200g tömeg esetében mérje meg a 160 cm-hez tartozó időket! Ebből a megfelelő egyenes illesztéssel határozza meg a mosogatószer viszkozitását! Adja meg a 3 méréssorozatból kapott viszkozitás hibáját.  Fontos, hogy amikor a hengert kiszereli várja meg amíg a mosogatószer lecsurog. Ezután tegye át a tálcára, csavarja le a hengert majd mossa le a csapnál! A mérés végén öntse vissza a mosogatószert a flakonba és mossa ki, majd törölje szárazra a műanyag hengert! 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ab/>
        <w:tab/>
        <w:tab/>
        <w:tab/>
        <w:tab/>
        <w:tab/>
        <w:tab/>
        <w:tab/>
        <w:tab/>
        <w:tab/>
        <w:t>8 pont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 xml:space="preserve">7. Vizsgálja az un. "granuláris anyagnak" minősülő gríz tulajdonságait is! Ehhez szerelje be a kis hengert. Töltse fel a rendszert grízzel úgy, hogy az a tetejétől 6 cm-ig érjen!  A mérés megkezdése előtt alaposan forgassa meg a hengert! 100g tömeg esetébe mérje meg a 160 cm megtételéhez szükséges időt! Ebből számítsa ki a fenti képletből adódó viszkozitást! Ismételje ezt meg a közepes hengerrel is! A henger beszerelése előtt öntse ki a grízt, mert az különben alul összepréselődik, ami komoly hibát okozhat. Azt tapasztalja, hogy ilyenkor a két mért viszkozitás igen jelentősen eltér. Mi lehet ennek az oka?    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ab/>
        <w:tab/>
        <w:tab/>
        <w:tab/>
        <w:tab/>
        <w:tab/>
        <w:tab/>
        <w:tab/>
        <w:tab/>
        <w:tab/>
        <w:t>3 pont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</w:rPr>
        <w:t>A feladatok megoldása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rPr>
          <w:b/>
          <w:b/>
          <w:bCs/>
        </w:rPr>
      </w:pPr>
      <w:r>
        <w:rPr>
          <w:rFonts w:eastAsia="Calibri" w:eastAsiaTheme="minorHAnsi"/>
          <w:b/>
          <w:bCs/>
        </w:rPr>
        <w:t>1. feladat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 xml:space="preserve">A mérés során az 3 db 8-as anyát akasztunk a kampóra, aminek össztömege 13,3g. Célszerű a mért </w:t>
      </w:r>
      <w:r>
        <w:rPr>
          <w:rFonts w:eastAsia="Calibri" w:eastAsiaTheme="minorHAnsi"/>
          <w:i/>
          <w:iCs/>
        </w:rPr>
        <w:t xml:space="preserve">t </w:t>
      </w:r>
      <w:r>
        <w:rPr>
          <w:rFonts w:eastAsia="Calibri" w:eastAsiaTheme="minorHAnsi"/>
        </w:rPr>
        <w:t xml:space="preserve">időadatok négyzetének függvényében ábrázolni a súly által megtett </w:t>
      </w:r>
      <w:r>
        <w:rPr>
          <w:rFonts w:eastAsia="Calibri" w:eastAsiaTheme="minorHAnsi"/>
          <w:i/>
          <w:iCs/>
        </w:rPr>
        <w:t xml:space="preserve">s </w:t>
      </w:r>
      <w:r>
        <w:rPr>
          <w:rFonts w:eastAsia="Calibri" w:eastAsiaTheme="minorHAnsi"/>
        </w:rPr>
        <w:t>utat. Ekkor mivel a kezdősebesség nulla</w:t>
      </w:r>
    </w:p>
    <w:p>
      <w:pPr>
        <w:pStyle w:val="Normal"/>
        <w:jc w:val="center"/>
        <w:rPr>
          <w:rFonts w:eastAsia="Calibri" w:eastAsiaTheme="minorHAnsi"/>
        </w:rPr>
      </w:pPr>
      <w:r>
        <w:rPr>
          <w:rFonts w:eastAsia="Calibri" w:eastAsiaTheme="minorHAnsi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a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eastAsia="Calibri" w:eastAsiaTheme="minorHAnsi"/>
        </w:rPr>
        <w:t xml:space="preserve">, 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>így egy egyenes illesztésével egyszerűen megkaphatjuk  a ráakasztott tömeg</w:t>
      </w:r>
      <w:r>
        <w:rPr>
          <w:rFonts w:eastAsia="Calibri" w:eastAsiaTheme="minorHAnsi"/>
          <w:i/>
          <w:iCs/>
        </w:rPr>
        <w:t xml:space="preserve"> a </w:t>
      </w:r>
      <w:r>
        <w:rPr>
          <w:rFonts w:eastAsia="Calibri" w:eastAsiaTheme="minorHAnsi"/>
        </w:rPr>
        <w:t xml:space="preserve">gyorsulását. 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t xml:space="preserve">A kapott eredmény a 1. ábrán látható. 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57600" cy="274320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610" w:leader="none"/>
        </w:tabs>
        <w:jc w:val="center"/>
        <w:rPr>
          <w:i/>
          <w:i/>
          <w:iCs/>
        </w:rPr>
      </w:pPr>
      <w:r>
        <w:rPr>
          <w:i/>
          <w:iCs/>
        </w:rPr>
        <w:t>1. ábra. A megtett út a mért időadatok négyzetének függvényében</w:t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>A egyenes illesztés alapján a gyorsulásra a=17.3 ± 0.3 cm/s</w:t>
      </w:r>
      <w:r>
        <w:rPr>
          <w:vertAlign w:val="superscript"/>
        </w:rPr>
        <w:t xml:space="preserve">2 </w:t>
      </w:r>
      <w:r>
        <w:rPr/>
        <w:t>= 0.173 ± 0.003 m/s</w:t>
      </w:r>
      <w:r>
        <w:rPr>
          <w:vertAlign w:val="superscript"/>
        </w:rPr>
        <w:t>2</w:t>
      </w:r>
      <w:r>
        <w:rPr/>
        <w:t xml:space="preserve"> adódik. Mivel a hajtó henger sugara 30 mm a henger szöggyorsulása ω=5.76 ± 0.2 s</w:t>
      </w:r>
      <w:r>
        <w:rPr>
          <w:vertAlign w:val="superscript"/>
        </w:rPr>
        <w:t>-2</w:t>
      </w:r>
      <w:r>
        <w:rPr/>
        <w:t xml:space="preserve">. Mivel a mért időadatok hibája  körülbelül 0.1s ami 2%-nak felel meg a gyorsulás  értékének hibája is ennyinek becsülhető. 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>
          <w:b/>
          <w:b/>
          <w:bCs/>
        </w:rPr>
      </w:pPr>
      <w:r>
        <w:rPr>
          <w:b/>
          <w:bCs/>
        </w:rPr>
        <w:t xml:space="preserve">2. feladat 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 xml:space="preserve">Először írjuk fel a rendszer mozgásegyenletét. A felfüggesztett </w:t>
      </w:r>
      <w:r>
        <w:rPr>
          <w:i/>
          <w:iCs/>
        </w:rPr>
        <w:t xml:space="preserve">m </w:t>
      </w:r>
      <w:r>
        <w:rPr/>
        <w:t xml:space="preserve">tömegre az </w:t>
      </w:r>
      <w:r>
        <w:rPr>
          <w:i/>
          <w:iCs/>
        </w:rPr>
        <w:t>mg</w:t>
      </w:r>
      <w:r>
        <w:rPr/>
        <w:t xml:space="preserve"> nehézségi erő és a kötélerő hat, így </w:t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mg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K</m:t>
        </m:r>
      </m:oMath>
      <w:r>
        <w:rPr/>
        <w:t>.</w:t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 xml:space="preserve">A hengerre a kötélerő </w:t>
      </w:r>
      <w:r>
        <w:rPr>
          <w:i/>
          <w:iCs/>
        </w:rPr>
        <w:t xml:space="preserve">KR </w:t>
      </w:r>
      <w:r>
        <w:rPr/>
        <w:t xml:space="preserve">forgatónyomatéka és a súrlódási erő </w:t>
      </w:r>
      <w:r>
        <w:rPr>
          <w:i/>
          <w:iCs/>
        </w:rPr>
        <w:t>M</w:t>
      </w:r>
      <w:r>
        <w:rPr>
          <w:i/>
          <w:iCs/>
          <w:vertAlign w:val="subscript"/>
        </w:rPr>
        <w:t xml:space="preserve">s </w:t>
      </w:r>
      <w:r>
        <w:rPr/>
        <w:t xml:space="preserve">forgatónyomatéka hat, így ennek mozgásegyenlete </w:t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θ</m:t>
        </m:r>
        <m:f>
          <m:num>
            <m:r>
              <w:rPr>
                <w:rFonts w:ascii="Cambria Math" w:hAnsi="Cambria Math"/>
              </w:rPr>
              <m:t xml:space="preserve">a</m:t>
            </m:r>
          </m:num>
          <m:den>
            <m:r>
              <w:rPr>
                <w:rFonts w:ascii="Cambria Math" w:hAnsi="Cambria Math"/>
              </w:rPr>
              <m:t xml:space="preserve">r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Kr</m:t>
        </m:r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</m:oMath>
      <w:r>
        <w:rPr/>
        <w:t>,</w:t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 xml:space="preserve">ahol kihasználtuk, hogy a  szöggyorsulás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a</m:t>
            </m:r>
          </m:num>
          <m:den>
            <m:r>
              <w:rPr>
                <w:rFonts w:ascii="Cambria Math" w:hAnsi="Cambria Math"/>
              </w:rPr>
              <m:t xml:space="preserve">r</m:t>
            </m:r>
          </m:den>
        </m:f>
      </m:oMath>
      <w:r>
        <w:rPr/>
        <w:t xml:space="preserve">. A </w:t>
      </w:r>
      <w:r>
        <w:rPr>
          <w:i/>
          <w:iCs/>
        </w:rPr>
        <w:t>Ө</w:t>
      </w:r>
      <w:r>
        <w:rPr/>
        <w:t xml:space="preserve"> a henger tehetetlenségi nyomatéka. Ezután fejezzük ki mindkét egyenletből a kötélerőt. Innen felírhatjuk, hogy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g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θ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−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s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r</m:t>
            </m:r>
          </m:den>
        </m:f>
      </m:oMath>
      <w:r>
        <w:rPr/>
        <w:t>.</w:t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 xml:space="preserve">A mérés során az idő mérésével minden tömeg esetében meghatározhatjuk a gyorsulás értékét. Ha az </w:t>
      </w:r>
      <w:r>
        <w:rPr>
          <w:i/>
          <w:iCs/>
        </w:rPr>
        <w:t>m(g-a)</w:t>
      </w:r>
      <w:r>
        <w:rPr/>
        <w:t>-t ábrázoljuk az</w:t>
      </w:r>
      <w:r>
        <w:rPr>
          <w:i/>
          <w:iCs/>
        </w:rPr>
        <w:t xml:space="preserve"> a</w:t>
      </w:r>
      <w:r>
        <w:rPr/>
        <w:t xml:space="preserve"> függvényében akkor egy egyenest kell kapjunk aminek meredeksége a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θ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/>
        <w:t xml:space="preserve">  és tengelymetszete pedig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s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r</m:t>
            </m:r>
          </m:den>
        </m:f>
      </m:oMath>
      <w:r>
        <w:rPr/>
        <w:t xml:space="preserve">. Ugyanakkor érdemes észrevenni, hogy a mi esetünkben mivel a vízzel teli henger tömege sokkal nagyobb mint a kötélre akasztott tömeg adódik, hogy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θ</m:t>
        </m:r>
        <m:r>
          <w:rPr>
            <w:rFonts w:ascii="Cambria Math" w:hAnsi="Cambria Math"/>
          </w:rPr>
          <m:t xml:space="preserve">≪</m:t>
        </m:r>
        <m:sSup>
          <m:e>
            <m:r>
              <w:rPr>
                <w:rFonts w:ascii="Cambria Math" w:hAnsi="Cambria Math"/>
              </w:rPr>
              <m:t xml:space="preserve">mR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/>
        <w:t>. Ezért a fenti egyenletet átírva a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θ</m:t>
                </m:r>
              </m:num>
              <m:den>
                <m:sSup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m</m:t>
            </m:r>
          </m:e>
        </m:d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mg</m:t>
        </m:r>
        <m:r>
          <w:rPr>
            <w:rFonts w:ascii="Cambria Math" w:hAnsi="Cambria Math"/>
          </w:rPr>
          <m:t xml:space="preserve">+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s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r</m:t>
            </m:r>
          </m:den>
        </m:f>
      </m:oMath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 xml:space="preserve">alakra annak bal oldalán a </w:t>
      </w:r>
      <w:r>
        <w:rPr>
          <w:i/>
          <w:iCs/>
        </w:rPr>
        <w:t xml:space="preserve">m </w:t>
      </w:r>
      <w:r>
        <w:rPr/>
        <w:t xml:space="preserve">elhanyagolható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θ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/>
        <w:t xml:space="preserve">mellett. Így jó közelítéssel 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θ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mg</m:t>
        </m:r>
        <m:r>
          <w:rPr>
            <w:rFonts w:ascii="Cambria Math" w:hAnsi="Cambria Math"/>
          </w:rPr>
          <m:t xml:space="preserve">+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s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r</m:t>
            </m:r>
          </m:den>
        </m:f>
      </m:oMath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 xml:space="preserve"> </w:t>
      </w:r>
      <w:r>
        <w:rPr/>
        <w:t xml:space="preserve">Ez azt jelenti, hogy az </w:t>
      </w:r>
      <w:r>
        <w:rPr>
          <w:i/>
          <w:iCs/>
        </w:rPr>
        <w:t xml:space="preserve">a −&gt; m </w:t>
      </w:r>
      <w:r>
        <w:rPr/>
        <w:t xml:space="preserve">összefüggés jó közelítéssel lineáris.  Az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s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/>
        <w:t>behelyesítése után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>a fenti összefüggés az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θs</m:t>
            </m:r>
          </m:num>
          <m:den>
            <m:r>
              <w:rPr>
                <w:rFonts w:ascii="Cambria Math" w:hAnsi="Cambria Math"/>
              </w:rPr>
              <m:t xml:space="preserve">g</m:t>
            </m:r>
            <m:s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+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s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gr</m:t>
            </m:r>
          </m:den>
        </m:f>
      </m:oMath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>alakra hozható.  Ez azt jelent, hogy ha egy adott</w:t>
      </w:r>
      <w:r>
        <w:rPr>
          <w:i/>
          <w:iCs/>
        </w:rPr>
        <w:t xml:space="preserve"> s</w:t>
      </w:r>
      <w:r>
        <w:rPr/>
        <w:t xml:space="preserve"> mellett a különböző tömegekhez tartozó</w:t>
      </w:r>
      <w:r>
        <w:rPr>
          <w:i/>
          <w:iCs/>
        </w:rPr>
        <w:t xml:space="preserve"> 1/t</w:t>
      </w:r>
      <w:r>
        <w:rPr>
          <w:i/>
          <w:iCs/>
          <w:vertAlign w:val="superscript"/>
        </w:rPr>
        <w:t>2</w:t>
      </w:r>
      <w:r>
        <w:rPr/>
        <w:t xml:space="preserve"> értékek függvényében ábrázoljuk</w:t>
      </w:r>
      <w:r>
        <w:rPr>
          <w:i/>
          <w:iCs/>
        </w:rPr>
        <w:t xml:space="preserve"> m</w:t>
      </w:r>
      <w:r>
        <w:rPr/>
        <w:t>-et akkor egy egyenest kell kapnunk aminek meredekségéből és tengelymetszetéből a tehetetlenségi nyomaték és a súrlódási erő forgatónyomatéka egy egyenes illesztéssel meghatározható. Fontos kiemelni, hogy a tömegek megadásánál a kampó tömegét is figyelembe kell venni! Az</w:t>
      </w:r>
      <w:r>
        <w:rPr>
          <w:i/>
          <w:iCs/>
        </w:rPr>
        <w:t xml:space="preserve"> s=160 cm</w:t>
      </w:r>
      <w:r>
        <w:rPr/>
        <w:t>-es hosszúsághoz tartozó ilyen grafikon a 2. ábrán látható: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>
          <w:i/>
          <w:i/>
          <w:iCs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57600" cy="2743200"/>
            <wp:effectExtent l="0" t="0" r="0" b="0"/>
            <wp:wrapTopAndBottom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>2</w:t>
      </w:r>
      <w:r>
        <w:rPr>
          <w:i/>
          <w:iCs/>
        </w:rPr>
        <w:t xml:space="preserve">. ábra .160cm-es út esetén a ráakasztott tömeg a mért idők reciprok négyzetének függvényében. 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 xml:space="preserve">Az illesztett egyenes meredeksége </w:t>
      </w:r>
      <w:r>
        <w:rPr>
          <w:i/>
          <w:iCs/>
        </w:rPr>
        <w:t>0.291 kg s</w:t>
      </w:r>
      <w:r>
        <w:rPr>
          <w:i/>
          <w:iCs/>
          <w:vertAlign w:val="superscript"/>
        </w:rPr>
        <w:t>2</w:t>
      </w:r>
      <w:r>
        <w:rPr/>
        <w:t xml:space="preserve">, míg tengelymetszete </w:t>
      </w:r>
      <w:r>
        <w:rPr>
          <w:i/>
          <w:iCs/>
        </w:rPr>
        <w:t>0.0033 kg.</w:t>
      </w:r>
      <w:r>
        <w:rPr/>
        <w:t xml:space="preserve">  Az adatok behelyettesítése után </w:t>
      </w:r>
      <w:r>
        <w:rPr>
          <w:i/>
          <w:iCs/>
        </w:rPr>
        <w:t>Ө=6.0 10</w:t>
      </w:r>
      <w:r>
        <w:rPr>
          <w:i/>
          <w:iCs/>
          <w:vertAlign w:val="superscript"/>
        </w:rPr>
        <w:t>-4</w:t>
      </w:r>
      <w:r>
        <w:rPr>
          <w:i/>
          <w:iCs/>
        </w:rPr>
        <w:t xml:space="preserve"> kg m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</w:t>
      </w:r>
      <w:r>
        <w:rPr/>
        <w:t xml:space="preserve">és </w:t>
      </w:r>
      <w:r>
        <w:rPr>
          <w:i/>
          <w:iCs/>
        </w:rPr>
        <w:t>M</w:t>
      </w:r>
      <w:r>
        <w:rPr>
          <w:i/>
          <w:iCs/>
          <w:vertAlign w:val="subscript"/>
        </w:rPr>
        <w:t>s</w:t>
      </w:r>
      <w:r>
        <w:rPr>
          <w:i/>
          <w:iCs/>
        </w:rPr>
        <w:t>=1.29 10</w:t>
      </w:r>
      <w:r>
        <w:rPr>
          <w:i/>
          <w:iCs/>
          <w:vertAlign w:val="superscript"/>
        </w:rPr>
        <w:t>-3</w:t>
      </w:r>
      <w:r>
        <w:rPr>
          <w:i/>
          <w:iCs/>
        </w:rPr>
        <w:t xml:space="preserve"> Nm. </w:t>
      </w:r>
      <w:r>
        <w:rPr/>
        <w:t>A másik három ejtési hosszúság esetén is meghatározva a fenti két értéket azt találjuk, hogy a mérés hibája kb. 10%. Érdemes kiszámítani a hengerbe töltött víz tehetetlenségi nyomatékát. Erre 3</w:t>
      </w:r>
      <w:r>
        <w:rPr>
          <w:i/>
          <w:iCs/>
        </w:rPr>
        <w:t>.9 10</w:t>
      </w:r>
      <w:r>
        <w:rPr>
          <w:i/>
          <w:iCs/>
          <w:vertAlign w:val="superscript"/>
        </w:rPr>
        <w:t>-4</w:t>
      </w:r>
      <w:r>
        <w:rPr>
          <w:i/>
          <w:iCs/>
        </w:rPr>
        <w:t xml:space="preserve"> kg m</w:t>
      </w:r>
      <w:r>
        <w:rPr>
          <w:i/>
          <w:iCs/>
          <w:vertAlign w:val="superscript"/>
        </w:rPr>
        <w:t xml:space="preserve">2 </w:t>
      </w:r>
      <w:r>
        <w:rPr/>
        <w:t xml:space="preserve">adódik. Figyelembe véve, hogy a fémhengernek és a forgató hengernek is van tehetetlenségi nyomatéka, ami hozzájárul a mért értékhez megállapíthatjuk, hogy a kapott érték teljesen megfelel a várakozásnak. 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>
          <w:b/>
          <w:bCs/>
        </w:rPr>
        <w:t>3. feladat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 xml:space="preserve">A mérés során kapott út idő grafikon a 3. ábrán látható.  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38855" cy="2651760"/>
            <wp:effectExtent l="0" t="0" r="0" b="0"/>
            <wp:wrapTopAndBottom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>
          <w:i/>
          <w:iCs/>
        </w:rPr>
        <w:t xml:space="preserve">   </w:t>
      </w:r>
    </w:p>
    <w:p>
      <w:pPr>
        <w:pStyle w:val="Normal"/>
        <w:tabs>
          <w:tab w:val="clear" w:pos="708"/>
          <w:tab w:val="left" w:pos="2610" w:leader="none"/>
        </w:tabs>
        <w:jc w:val="center"/>
        <w:rPr>
          <w:i/>
          <w:i/>
          <w:iCs/>
        </w:rPr>
      </w:pPr>
      <w:r>
        <w:rPr>
          <w:i/>
          <w:iCs/>
        </w:rPr>
        <w:t>3. ábra. A vízzel feltöltött rendszer esetében a mért út idő grafikon.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 xml:space="preserve"> </w:t>
      </w:r>
      <w:r>
        <w:rPr/>
        <w:t xml:space="preserve">Az áráról leolvasható, hogy kb. </w:t>
      </w:r>
      <w:r>
        <w:rPr>
          <w:i/>
          <w:iCs/>
        </w:rPr>
        <w:t>5s</w:t>
      </w:r>
      <w:r>
        <w:rPr/>
        <w:t xml:space="preserve"> után a henger sebessége már állandó lesz. Előtte folyamatosan növekszik. Ha az utlsó 5 pontra illesztünk egy egyenest megkaphatjuk a beállt sebességet, amely </w:t>
      </w:r>
      <w:r>
        <w:rPr>
          <w:i/>
          <w:iCs/>
        </w:rPr>
        <w:t>v=0.28 m/s</w:t>
      </w:r>
      <w:r>
        <w:rPr/>
        <w:t xml:space="preserve">-nak adódik. Ezzel szemben az átlagsebesség csak </w:t>
      </w:r>
      <w:r>
        <w:rPr>
          <w:i/>
          <w:iCs/>
        </w:rPr>
        <w:t>v</w:t>
      </w:r>
      <w:r>
        <w:rPr>
          <w:i/>
          <w:iCs/>
          <w:vertAlign w:val="subscript"/>
        </w:rPr>
        <w:t>átlag</w:t>
      </w:r>
      <w:r>
        <w:rPr>
          <w:i/>
          <w:iCs/>
        </w:rPr>
        <w:t xml:space="preserve">=0.2 m/s. </w:t>
      </w:r>
      <w:r>
        <w:rPr/>
        <w:t xml:space="preserve">Tehát az átlagsebességet használva a hiba mintegy 30%. 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>
          <w:b/>
          <w:b/>
          <w:bCs/>
        </w:rPr>
      </w:pPr>
      <w:r>
        <w:rPr>
          <w:b/>
          <w:bCs/>
        </w:rPr>
        <w:t>4. feladat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>Ha a henger sebessége beáll egy állandó szögsebességre akkor felírhatjuk, hogy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mgr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πη</m:t>
            </m:r>
            <m:r>
              <w:rPr>
                <w:rFonts w:ascii="Cambria Math" w:hAnsi="Cambria Math"/>
              </w:rPr>
              <m:t xml:space="preserve">h</m:t>
            </m:r>
            <m:sSub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sSub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</m:num>
          <m:den>
            <m:sSub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r>
              <w:rPr>
                <w:rFonts w:ascii="Cambria Math" w:hAnsi="Cambria Math"/>
              </w:rPr>
              <m:t xml:space="preserve">−</m:t>
            </m:r>
            <m:sSub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</m:den>
        </m:f>
        <m:r>
          <w:rPr>
            <w:rFonts w:ascii="Cambria Math" w:hAnsi="Cambria Math"/>
          </w:rPr>
          <m:t xml:space="preserve">ω</m:t>
        </m:r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</m:oMath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>amely átírható az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mgr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πη</m:t>
            </m:r>
            <m:r>
              <w:rPr>
                <w:rFonts w:ascii="Cambria Math" w:hAnsi="Cambria Math"/>
              </w:rPr>
              <m:t xml:space="preserve">h</m:t>
            </m:r>
            <m:sSub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sSub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</m:num>
          <m:den>
            <m:sSub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r>
              <w:rPr>
                <w:rFonts w:ascii="Cambria Math" w:hAnsi="Cambria Math"/>
              </w:rPr>
              <m:t xml:space="preserve">−</m:t>
            </m:r>
            <m:sSub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</m:den>
        </m:f>
        <m:f>
          <m:num>
            <m:r>
              <w:rPr>
                <w:rFonts w:ascii="Cambria Math" w:hAnsi="Cambria Math"/>
              </w:rPr>
              <m:t xml:space="preserve">s</m:t>
            </m:r>
          </m:num>
          <m:den>
            <m:r>
              <w:rPr>
                <w:rFonts w:ascii="Cambria Math" w:hAnsi="Cambria Math"/>
              </w:rPr>
              <m:t xml:space="preserve">rt</m:t>
            </m:r>
          </m:den>
        </m:f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</m:oMath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>illetve az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πη</m:t>
            </m:r>
            <m:r>
              <w:rPr>
                <w:rFonts w:ascii="Cambria Math" w:hAnsi="Cambria Math"/>
              </w:rPr>
              <m:t xml:space="preserve">h</m:t>
            </m:r>
            <m:sSub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sSub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gr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d>
              <m:dPr>
                <m:begChr m:val="("/>
                <m:endChr m:val=")"/>
              </m:dPr>
              <m:e>
                <m:sSubSup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−</m:t>
                </m:r>
                <m:sSubSup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</m:e>
            </m:d>
          </m:den>
        </m:f>
        <m:f>
          <m:num>
            <m:r>
              <w:rPr>
                <w:rFonts w:ascii="Cambria Math" w:hAnsi="Cambria Math"/>
              </w:rPr>
              <m:t xml:space="preserve">s</m:t>
            </m:r>
          </m:num>
          <m:den>
            <m:r>
              <w:rPr>
                <w:rFonts w:ascii="Cambria Math" w:hAnsi="Cambria Math"/>
              </w:rPr>
              <m:t xml:space="preserve">t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s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gr</m:t>
            </m:r>
          </m:den>
        </m:f>
      </m:oMath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 xml:space="preserve">alakra. Ezért, ha az </w:t>
      </w:r>
      <w:r>
        <w:rPr>
          <w:i/>
          <w:iCs/>
        </w:rPr>
        <w:t xml:space="preserve">1/t </w:t>
      </w:r>
      <w:r>
        <w:rPr/>
        <w:t xml:space="preserve">függvényében ábrázoljuk az </w:t>
      </w:r>
      <w:r>
        <w:rPr>
          <w:i/>
          <w:iCs/>
        </w:rPr>
        <w:t>m</w:t>
      </w:r>
      <w:r>
        <w:rPr/>
        <w:t xml:space="preserve">-t egy egyenest kell kapjunk aminek meredekségéből a viszkozitás a fenti képlet szerint meghatározható. A kapott eredmény a 4. ábrán látható. 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>Az illesztett egyenes meredeksége a</w:t>
      </w:r>
      <w:r>
        <w:rPr>
          <w:vertAlign w:val="subscript"/>
        </w:rPr>
        <w:t>m</w:t>
      </w:r>
      <w:r>
        <w:rPr/>
        <w:t>=</w:t>
      </w:r>
      <w:r>
        <w:rPr>
          <w:i/>
          <w:iCs/>
        </w:rPr>
        <w:t xml:space="preserve">0.0827kgs. </w:t>
      </w:r>
      <w:r>
        <w:rPr/>
        <w:t>A meredekségre kapott fenti összefüggésből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η</m:t>
        </m:r>
        <m:r>
          <w:rPr>
            <w:rFonts w:ascii="Cambria Math" w:hAnsi="Cambria Math"/>
          </w:rPr>
          <m:t xml:space="preserve">=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gr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d>
              <m:dPr>
                <m:begChr m:val="("/>
                <m:endChr m:val=")"/>
              </m:dPr>
              <m:e>
                <m:sSubSup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−</m:t>
                </m:r>
                <m:sSubSup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</m:e>
            </m:d>
          </m:num>
          <m:den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πs</m:t>
            </m:r>
            <m:r>
              <w:rPr>
                <w:rFonts w:ascii="Cambria Math" w:hAnsi="Cambria Math"/>
              </w:rPr>
              <m:t xml:space="preserve">h</m:t>
            </m:r>
            <m:sSub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sSub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</m:den>
        </m:f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m</m:t>
            </m:r>
          </m:sub>
        </m:sSub>
      </m:oMath>
      <w:r>
        <w:rPr/>
        <w:t>.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>A mérések során nem változó adatok behelyettesítése után felírhatjuk, hogy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η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1.38</m:t>
        </m:r>
        <m:r>
          <w:rPr>
            <w:rFonts w:ascii="Cambria Math" w:hAnsi="Cambria Math"/>
          </w:rPr>
          <m:t xml:space="preserve">∗</m:t>
        </m:r>
        <m:d>
          <m:dPr>
            <m:begChr m:val="("/>
            <m:endChr m:val=")"/>
          </m:dPr>
          <m:e>
            <m:f>
              <m:num>
                <m:sSubSup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</m:num>
              <m:den>
                <m:sSubSup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</m:den>
            </m:f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m</m:t>
            </m:r>
          </m:sub>
        </m:sSub>
      </m:oMath>
      <w:r>
        <w:rPr/>
        <w:t>.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57600" cy="2743200"/>
            <wp:effectExtent l="0" t="0" r="0" b="0"/>
            <wp:wrapTopAndBottom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 xml:space="preserve"> </w:t>
      </w:r>
      <w:r>
        <w:rPr>
          <w:i/>
          <w:iCs/>
        </w:rPr>
        <w:t xml:space="preserve">4. ábra. A ráakasztott tömeg az 1/t függvényében s=160 cm esetében a legnagyobb hengerre. 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>Innen</w:t>
      </w:r>
      <w:r>
        <w:rPr>
          <w:i/>
          <w:iCs/>
        </w:rPr>
        <w:t xml:space="preserve"> η=0.26 Pas</w:t>
      </w:r>
      <w:r>
        <w:rPr/>
        <w:t xml:space="preserve">.  Meg kell említeni, hogy ez az érték lényegesen magasabb, mint a desztillált vízre az irodalomban megadott η=0.001 Pas érték.  Ennek természetesen az az oka, hogy mi a mérésben csapvizet használtunk, ami rengeteg oldott anyagot tartalmaz, amely lényegesen növeli a viszkozitást.  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>
          <w:b/>
          <w:b/>
          <w:bCs/>
        </w:rPr>
      </w:pPr>
      <w:r>
        <w:rPr>
          <w:b/>
          <w:bCs/>
        </w:rPr>
        <w:t>5. feladat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>A fenti mérést megismételve a másik két hengerre is a közepes hengerre</w:t>
      </w:r>
      <w:r>
        <w:rPr>
          <w:i/>
          <w:iCs/>
        </w:rPr>
        <w:t xml:space="preserve"> η=0.20 Pas </w:t>
      </w:r>
      <w:r>
        <w:rPr/>
        <w:t xml:space="preserve">míg a legkisebb hengerre </w:t>
      </w:r>
      <w:r>
        <w:rPr>
          <w:i/>
          <w:iCs/>
        </w:rPr>
        <w:t>η=0.28 Pas</w:t>
      </w:r>
      <w:r>
        <w:rPr/>
        <w:t xml:space="preserve"> értéket kapunk. Látható tehát, hogy a mérés hibája körülbelül 30%. 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>
          <w:b/>
          <w:b/>
          <w:bCs/>
        </w:rPr>
      </w:pPr>
      <w:r>
        <w:rPr>
          <w:b/>
          <w:bCs/>
        </w:rPr>
        <w:t>6. feladat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 xml:space="preserve">A fenti mérést megismételve a mosogatószerre az 5. ábrán látható grafikonokat kapjuk: 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>Az illesztett egyenesek meredekségét és a kiszámított viszkozitás értékeket az alábbi táblázatban foglaltuk össze: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410"/>
        <w:gridCol w:w="2409"/>
        <w:gridCol w:w="2410"/>
        <w:gridCol w:w="2408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i/>
                <w:iCs/>
                <w:color w:val="000000"/>
              </w:rPr>
              <w:t>a</w:t>
            </w:r>
            <w:r>
              <w:rPr>
                <w:rFonts w:ascii="Liberation Serif" w:hAnsi="Liberation Serif"/>
                <w:i/>
                <w:iCs/>
                <w:color w:val="000000"/>
                <w:vertAlign w:val="subscript"/>
              </w:rPr>
              <w:t xml:space="preserve">m </w:t>
            </w:r>
            <w:r>
              <w:rPr>
                <w:rFonts w:ascii="Liberation Serif" w:hAnsi="Liberation Serif"/>
                <w:color w:val="000000"/>
                <w:vertAlign w:val="subscript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 [kg s]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r>
              <w:rPr/>
            </w:r>
            <m:oMath xmlns:m="http://schemas.openxmlformats.org/officeDocument/2006/math">
              <m:f>
                <m:fPr>
                  <m:type m:val="lin"/>
                </m:fPr>
                <m:num>
                  <m:sSubSup>
                    <m:e>
                      <m:r>
                        <w:rPr>
                          <w:rFonts w:ascii="Cambria Math" w:hAnsi="Cambria Math"/>
                        </w:rPr>
                        <m:t xml:space="preserve"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bSup>
                </m:num>
                <m:den>
                  <m:sSup>
                    <m:e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oMath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η [Pa s]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nagy henger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0.85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1.17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közepes henger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0.58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1.42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1.13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kis henger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0.36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2.30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1.14</w:t>
            </w:r>
          </w:p>
        </w:tc>
      </w:tr>
    </w:tbl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>Megállapítható, hogy a mosószer viszkozitása már kb. 2%-os pontossággal meghatározható. Ez nyilván azért lehetséges mert a viszkozitás értéke közel egy nagyságrenddel nagyobb mint a vízé.</w:t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  <w:t xml:space="preserve"> </w:t>
      </w: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57600" cy="2743200"/>
            <wp:effectExtent l="0" t="0" r="0" b="0"/>
            <wp:wrapTopAndBottom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>5</w:t>
      </w:r>
      <w:r>
        <w:rPr>
          <w:i/>
          <w:iCs/>
        </w:rPr>
        <w:t xml:space="preserve">. ábra. A mosószerrel mért  1/t -&gt; m görbék a három henger esetében. 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>
          <w:b/>
          <w:b/>
          <w:bCs/>
        </w:rPr>
      </w:pPr>
      <w:r>
        <w:rPr>
          <w:b/>
          <w:bCs/>
        </w:rPr>
        <w:t>7. feladat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>A mérési eredményeket az alábbi táblázat foglalja össze: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410"/>
        <w:gridCol w:w="2409"/>
        <w:gridCol w:w="2410"/>
        <w:gridCol w:w="2408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i/>
                <w:iCs/>
                <w:color w:val="000000"/>
              </w:rPr>
              <w:t xml:space="preserve">mt </w:t>
            </w:r>
            <w:r>
              <w:rPr>
                <w:rFonts w:ascii="Liberation Serif" w:hAnsi="Liberation Serif"/>
                <w:color w:val="000000"/>
              </w:rPr>
              <w:t>[kg s]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η [Pa s]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közepes henger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0.25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0.64</w:t>
            </w:r>
          </w:p>
        </w:tc>
      </w:tr>
      <w:tr>
        <w:trPr>
          <w:trHeight w:val="348" w:hRule="atLeast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kis henger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1.95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0.195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0.88</w:t>
            </w:r>
          </w:p>
        </w:tc>
      </w:tr>
    </w:tbl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 xml:space="preserve">A mérés során a tömeg 100g volt és a 160 cm megtételéhez szükséges időt mértük. A számolásnál figyelembe kell venni, hogy a gríz magassága csak 60mm volt nem pedig80mm mint a többi mérésnél. Ezért a viszkozitást megadó képlet ilyenkor  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η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1.88</m:t>
        </m:r>
        <m:r>
          <w:rPr>
            <w:rFonts w:ascii="Cambria Math" w:hAnsi="Cambria Math"/>
          </w:rPr>
          <m:t xml:space="preserve">∗</m:t>
        </m:r>
        <m:d>
          <m:dPr>
            <m:begChr m:val="("/>
            <m:endChr m:val=")"/>
          </m:dPr>
          <m:e>
            <m:f>
              <m:num>
                <m:sSubSup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</m:num>
              <m:den>
                <m:sSubSup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</m:den>
            </m:f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mt</m:t>
        </m:r>
      </m:oMath>
      <w:r>
        <w:rPr/>
        <w:t>.</w:t>
      </w:r>
    </w:p>
    <w:p>
      <w:pPr>
        <w:pStyle w:val="Normal"/>
        <w:tabs>
          <w:tab w:val="clear" w:pos="708"/>
          <w:tab w:val="left" w:pos="261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>Mivel csak egy tömeg mellett mértünk a korábban illesztett egyenes meredeksége helyett itt egyszerűen az</w:t>
      </w:r>
      <w:r>
        <w:rPr>
          <w:i/>
          <w:iCs/>
        </w:rPr>
        <w:t xml:space="preserve"> a</w:t>
      </w:r>
      <w:r>
        <w:rPr>
          <w:i/>
          <w:iCs/>
          <w:vertAlign w:val="subscript"/>
        </w:rPr>
        <w:t>m</w:t>
      </w:r>
      <w:r>
        <w:rPr>
          <w:i/>
          <w:iCs/>
        </w:rPr>
        <w:t xml:space="preserve">=mt </w:t>
      </w:r>
      <w:r>
        <w:rPr/>
        <w:t>közelítést alkalmaztuk.</w:t>
      </w:r>
      <w:r>
        <w:rPr>
          <w:i/>
          <w:iCs/>
        </w:rPr>
        <w:t xml:space="preserve">  </w:t>
      </w:r>
    </w:p>
    <w:p>
      <w:pPr>
        <w:pStyle w:val="Normal"/>
        <w:tabs>
          <w:tab w:val="clear" w:pos="708"/>
          <w:tab w:val="left" w:pos="2610" w:leader="none"/>
        </w:tabs>
        <w:rPr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  <w:t>Látható, hogy a két henger esetén kapott viszkozitás jelentősen eltér. Ennek oka, hogy a gríz,</w:t>
      </w:r>
      <w:bookmarkStart w:id="0" w:name="_GoBack"/>
      <w:bookmarkEnd w:id="0"/>
      <w:r>
        <w:rPr/>
        <w:t xml:space="preserve"> mint "granuláris" anyag nem követi a folyadékokra és gázokra érvényes Newton féle lineáris összefüggést a nyírási feszültség és a nyírási sebesség között. A két mennyiség között egy erősen nemlineáris összefüggés van. </w:t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10" w:leader="none"/>
        </w:tabs>
        <w:rPr/>
      </w:pPr>
      <w:r>
        <w:rPr/>
      </w:r>
    </w:p>
    <w:sectPr>
      <w:footerReference w:type="default" r:id="rId7"/>
      <w:type w:val="nextPage"/>
      <w:pgSz w:w="11906" w:h="16838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12817009"/>
    </w:sdtPr>
    <w:sdtContent>
      <w:p>
        <w:pPr>
          <w:pStyle w:val="Footer"/>
          <w:pBdr>
            <w:top w:val="single" w:sz="4" w:space="1" w:color="000000"/>
          </w:pBdr>
          <w:tabs>
            <w:tab w:val="clear" w:pos="4536"/>
            <w:tab w:val="clear" w:pos="9072"/>
            <w:tab w:val="left" w:pos="-284" w:leader="none"/>
          </w:tabs>
          <w:ind w:right="-851" w:hanging="0"/>
          <w:rPr/>
        </w:pPr>
        <w:r>
          <w:rPr>
            <w:sz w:val="22"/>
          </w:rPr>
          <w:t>Az Országos Középiskolai Tanulmányi Versenyek megvalósulását az NTP-TMV-M-22-A0002 projekt támogatja.</w:t>
        </w:r>
      </w:p>
      <w:p>
        <w:pPr>
          <w:pStyle w:val="Footer"/>
          <w:tabs>
            <w:tab w:val="clear" w:pos="4536"/>
            <w:tab w:val="clear" w:pos="9072"/>
          </w:tabs>
          <w:rPr/>
        </w:pPr>
        <w:r>
          <w:rPr/>
          <w:drawing>
            <wp:inline distT="0" distB="0" distL="0" distR="0">
              <wp:extent cx="6120130" cy="1019810"/>
              <wp:effectExtent l="0" t="0" r="0" b="0"/>
              <wp:docPr id="6" name="Kép 30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Kép 30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1019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131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uiPriority w:val="99"/>
    <w:qFormat/>
    <w:rsid w:val="00b7131e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LlbChar" w:customStyle="1">
    <w:name w:val="Élőláb Char"/>
    <w:basedOn w:val="DefaultParagraphFont"/>
    <w:uiPriority w:val="99"/>
    <w:qFormat/>
    <w:rsid w:val="00b7131e"/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unhideWhenUsed/>
    <w:rsid w:val="00b7131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uiPriority w:val="99"/>
    <w:unhideWhenUsed/>
    <w:rsid w:val="00b7131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21ce9"/>
    <w:pPr>
      <w:spacing w:before="0" w:after="0"/>
      <w:ind w:left="720" w:hanging="0"/>
      <w:contextualSpacing/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b7131e"/>
    <w:rPr>
      <w:lang w:eastAsia="hu-HU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LibreOffice/6.4.7.2$Linux_X86_64 LibreOffice_project/40$Build-2</Application>
  <Pages>8</Pages>
  <Words>1735</Words>
  <Characters>9669</Characters>
  <CharactersWithSpaces>11448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2023-08-06T12:41:00Z</dcterms:created>
  <dc:creator>Feripapi</dc:creator>
  <dc:description/>
  <dc:language>hu-HU</dc:language>
  <cp:lastModifiedBy>Feripapi</cp:lastModifiedBy>
  <cp:lastPrinted>2023-07-29T18:27:00Z</cp:lastPrinted>
  <dcterms:modified xsi:type="dcterms:W3CDTF">2023-08-06T12:51:00Z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