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 2021/2022. tanévi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Országos Középiskolai Tanulmányi Verseny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döntő forduló </w:t>
      </w:r>
    </w:p>
    <w:p>
      <w:pPr>
        <w:pStyle w:val="Normal"/>
        <w:spacing w:before="240" w:after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fizika II. KATEGÓRIA</w:t>
      </w:r>
    </w:p>
    <w:p>
      <w:pPr>
        <w:pStyle w:val="Normal"/>
        <w:spacing w:before="120" w:after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Javítási-értékelési útmutató</w:t>
      </w:r>
    </w:p>
    <w:p>
      <w:pPr>
        <w:pStyle w:val="Normal"/>
        <w:spacing w:before="120" w:after="120"/>
        <w:jc w:val="left"/>
        <w:rPr/>
      </w:pPr>
      <w:r>
        <w:rPr/>
        <w:t xml:space="preserve">A méréshez használt berendezés fényképe az 1. ábrán látható. </w:t>
      </w:r>
    </w:p>
    <w:p>
      <w:pPr>
        <w:pStyle w:val="Normal"/>
        <w:spacing w:before="12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5020945" cy="1592580"/>
            <wp:effectExtent l="0" t="0" r="0" b="0"/>
            <wp:wrapTopAndBottom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120"/>
        <w:jc w:val="center"/>
        <w:rPr>
          <w:i/>
          <w:i/>
          <w:iCs/>
        </w:rPr>
      </w:pPr>
      <w:r>
        <w:rPr>
          <w:i/>
          <w:iCs/>
        </w:rPr>
        <w:t>1. ábra A berendezés fényképe.</w:t>
      </w:r>
    </w:p>
    <w:p>
      <w:pPr>
        <w:pStyle w:val="Normal"/>
        <w:spacing w:before="120" w:after="120"/>
        <w:jc w:val="left"/>
        <w:rPr/>
      </w:pPr>
      <w:r>
        <w:rPr/>
        <w:t xml:space="preserve">Amint a feladat leírásában is szerepel  a mérés alapja a 160 cm hosszú cső két végére elhelyezett hangszóró ill. mikrofon, amelyeket egy mikroszámítógép vezérel. A hangszóró igen rövid (1ms-os) 4kHz-s hangimpulzusokat bocsájt ki periodikusan.  Az impulzus elindulásakor elindul a mikroszámológépben egy óra, amely az impulzusnak a mikrofonba érkezésekor leáll. Az eltelt idő megjelenik a kijelzőn. A mérés során a csövet hélium ill. argon gázzal is fel tudjuk tölteni. A csövet körülvevő víz melegítésével vizsgálni tudjuk a hang terjedésének hőmérséklet függését is. Továbbá mód van a hangsebesség mérésére áramló közegben is. </w:t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1. Álló levegőben szobahőmérsékleten határozza meg a hang terjedési sebességét! </w:t>
      </w:r>
      <w:r>
        <w:rPr>
          <w:b w:val="false"/>
          <w:bCs w:val="false"/>
          <w:position w:val="0"/>
          <w:sz w:val="24"/>
          <w:sz w:val="24"/>
          <w:vertAlign w:val="baseline"/>
        </w:rPr>
        <w:t>1 pont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A mérés szerint ekkor a csőben a hangimpulzus terjedési ideje 4686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1% </w:t>
      </w:r>
      <w:r>
        <w:rPr>
          <w:b w:val="false"/>
          <w:bCs w:val="false"/>
          <w:position w:val="0"/>
          <w:sz w:val="24"/>
          <w:sz w:val="24"/>
          <w:vertAlign w:val="baseline"/>
        </w:rPr>
        <w:t>u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s. Ennek alapján a 160 cm-es csőhossz ismeretében a hang terjedési sebességére c=341 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1% m/s adódik. Ez hibahatáron belül megegyezik az irodalomból ismert értékkel.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2.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A csövet héliummal feltöltve mérje meg a hang terjedési sebességét héliumban! Hasonlítsa ezt össze a levegőben mért értékkel. A eredményre adjon elméleti magyarázatot.  </w:t>
      </w:r>
      <w:r>
        <w:rPr>
          <w:b w:val="false"/>
          <w:bCs w:val="false"/>
        </w:rPr>
        <w:t>(</w:t>
      </w:r>
      <w:r>
        <w:rPr>
          <w:b/>
          <w:bCs/>
          <w:i/>
          <w:iCs/>
        </w:rPr>
        <w:t>A magyarázathoz felhasználhatja a hang gázbeli terjedésére vonatkozó összefüggést)</w:t>
      </w:r>
      <w:r>
        <w:rPr>
          <w:b w:val="false"/>
          <w:bCs w:val="false"/>
          <w:i/>
          <w:iCs/>
        </w:rPr>
        <w:t xml:space="preserve"> </w:t>
      </w:r>
      <w:r>
        <w:rPr>
          <w:b/>
          <w:bCs/>
        </w:rPr>
        <w:t xml:space="preserve">Ehhez elméleti úton határozza meg a levegőben és a héliumban a hang terjedési sebességének arányát! A számolásnál vegye figyelembe, hogy gázkeveréknél a nyomás a parciális nyomások összege (Dalton törvény: </w:t>
      </w:r>
      <w:r>
        <w:rPr>
          <w:b/>
          <w:bCs/>
          <w:i/>
          <w:iCs/>
        </w:rPr>
        <w:t>Egy gázkeverék összetevőinek p</w:t>
      </w:r>
      <w:r>
        <w:rPr>
          <w:b/>
          <w:bCs/>
          <w:i/>
          <w:iCs/>
          <w:vertAlign w:val="subscript"/>
        </w:rPr>
        <w:t xml:space="preserve">1 </w:t>
      </w:r>
      <w:r>
        <w:rPr>
          <w:b/>
          <w:bCs/>
          <w:i/>
          <w:iCs/>
          <w:position w:val="0"/>
          <w:sz w:val="24"/>
          <w:vertAlign w:val="baseline"/>
        </w:rPr>
        <w:t>és p</w:t>
      </w:r>
      <w:r>
        <w:rPr>
          <w:b/>
          <w:bCs/>
          <w:i/>
          <w:iCs/>
          <w:vertAlign w:val="subscript"/>
        </w:rPr>
        <w:t xml:space="preserve">2 </w:t>
      </w:r>
      <w:r>
        <w:rPr>
          <w:b/>
          <w:bCs/>
          <w:i/>
          <w:iCs/>
          <w:position w:val="0"/>
          <w:sz w:val="24"/>
          <w:vertAlign w:val="baseline"/>
        </w:rPr>
        <w:t xml:space="preserve">nyomásai akkorák, mint amit akkor fejtenénk ki, ha ugyanazon a hőmérsékleten egyedül töltenénk ki a teljes térfogatot. A gázkeverék telje nyomása ezen (parciális) nyomások összege.) </w:t>
      </w:r>
      <w:r>
        <w:rPr>
          <w:b/>
          <w:bCs/>
        </w:rPr>
        <w:t xml:space="preserve"> Az elméletileg számított értéknél valamivel kisebb értéket fog tapasztalni. Mi lehet ennek az oka?</w:t>
      </w:r>
      <w:r>
        <w:rPr>
          <w:b w:val="false"/>
          <w:bCs w:val="false"/>
        </w:rPr>
        <w:t xml:space="preserve">  9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A héliummal való feltöltés után a hangimpulzus terjedési idejére 1924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1% </w:t>
      </w:r>
      <w:r>
        <w:rPr>
          <w:b w:val="false"/>
          <w:bCs w:val="false"/>
          <w:position w:val="0"/>
          <w:sz w:val="24"/>
          <w:sz w:val="24"/>
          <w:vertAlign w:val="baseline"/>
        </w:rPr>
        <w:t>u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s-ot mérünk. Innen a mért terjedési sebesség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c=831 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1% m/s.  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Az elméleti magyarázathoz induljunk ki abból, hogy a hang terjedési sebessége gázban 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p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v</m:t>
                    </m:r>
                  </m:sub>
                </m:sSub>
              </m:den>
            </m:f>
            <m:f>
              <m:num>
                <m:r>
                  <w:rPr>
                    <w:rFonts w:ascii="Cambria Math" w:hAnsi="Cambria Math"/>
                  </w:rPr>
                  <m:t xml:space="preserve">p</m:t>
                </m:r>
              </m:num>
              <m:den>
                <m:r>
                  <w:rPr>
                    <w:rFonts w:ascii="Cambria Math" w:hAnsi="Cambria Math"/>
                  </w:rPr>
                  <m:t xml:space="preserve">ρ</m:t>
                </m:r>
              </m:den>
            </m:f>
          </m:e>
        </m:rad>
      </m:oMath>
      <w:r>
        <w:rPr>
          <w:b w:val="false"/>
          <w:bCs w:val="false"/>
          <w:position w:val="0"/>
          <w:sz w:val="24"/>
          <w:sz w:val="24"/>
          <w:vertAlign w:val="baseline"/>
        </w:rPr>
        <w:t>,   (1)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ahol </w:t>
      </w: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>c</w:t>
      </w:r>
      <w:r>
        <w:rPr>
          <w:b w:val="false"/>
          <w:bCs w:val="false"/>
          <w:i/>
          <w:iCs/>
          <w:sz w:val="24"/>
          <w:vertAlign w:val="subscript"/>
        </w:rPr>
        <w:t>p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az állandó nyomáson míg  </w:t>
      </w: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>c</w:t>
      </w:r>
      <w:r>
        <w:rPr>
          <w:b w:val="false"/>
          <w:bCs w:val="false"/>
          <w:i/>
          <w:iCs/>
          <w:sz w:val="24"/>
          <w:vertAlign w:val="subscript"/>
        </w:rPr>
        <w:t>v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az állandó hőmérsékleten vett fajhő, </w:t>
      </w: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 xml:space="preserve">p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 nyomás és 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ρ a sűrűség. 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Egykomponensű gáz esetén az ideális gáz állapotegyenlete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r>
          <w:rPr>
            <w:rFonts w:ascii="Cambria Math" w:hAnsi="Cambria Math"/>
          </w:rPr>
          <m:t xml:space="preserve">RT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, (2)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ahol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4"/>
          <w:sz w:val="24"/>
          <w:vertAlign w:val="baseline"/>
        </w:rPr>
        <w:t xml:space="preserve">V 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 térfogat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4"/>
          <w:sz w:val="24"/>
          <w:vertAlign w:val="baseline"/>
        </w:rPr>
        <w:t xml:space="preserve">m 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 gáz tömege,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4"/>
          <w:sz w:val="24"/>
          <w:vertAlign w:val="baseline"/>
        </w:rPr>
        <w:t>M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a moláris tömeg,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4"/>
          <w:sz w:val="24"/>
          <w:vertAlign w:val="baseline"/>
        </w:rPr>
        <w:t xml:space="preserve">R 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 gázállandó és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4"/>
          <w:sz w:val="24"/>
          <w:vertAlign w:val="baseline"/>
        </w:rPr>
        <w:t>T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az abszolút hőmérséklet.  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 tömeggel leosztva kapjuk, hogy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ρ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r>
          <w:rPr>
            <w:rFonts w:ascii="Cambria Math" w:hAnsi="Cambria Math"/>
          </w:rPr>
          <m:t xml:space="preserve">T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. (3)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Ezt behelyettesítve (1) egyenletbe egykomponensű gázra 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p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v</m:t>
                    </m:r>
                  </m:sub>
                </m:sSub>
              </m:den>
            </m:f>
            <m:f>
              <m:num>
                <m:r>
                  <w:rPr>
                    <w:rFonts w:ascii="Cambria Math" w:hAnsi="Cambria Math"/>
                  </w:rPr>
                  <m:t xml:space="preserve">R</m:t>
                </m:r>
              </m:num>
              <m:den>
                <m:r>
                  <w:rPr>
                    <w:rFonts w:ascii="Cambria Math" w:hAnsi="Cambria Math"/>
                  </w:rPr>
                  <m:t xml:space="preserve">M</m:t>
                </m:r>
              </m:den>
            </m:f>
            <m:r>
              <w:rPr>
                <w:rFonts w:ascii="Cambria Math" w:hAnsi="Cambria Math"/>
              </w:rPr>
              <m:t xml:space="preserve">T</m:t>
            </m:r>
          </m:e>
        </m:rad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. (4)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Figyelembe véve, hogy az ekvipartíció tétel szerint az állandó térfogaton mért fajhő arányos a gáz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4"/>
          <w:sz w:val="24"/>
          <w:vertAlign w:val="baseline"/>
        </w:rPr>
        <w:t xml:space="preserve"> f </w:t>
      </w: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termodinamikai szabadsági fokainak számával, valamint hogy a  Robert Mayer-egyenlet szerint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v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r>
          <w:rPr>
            <w:rFonts w:ascii="Cambria Math" w:hAnsi="Cambria Math"/>
          </w:rPr>
          <m:t xml:space="preserve">R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(5)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kapjuk, hogy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p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v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f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f</m:t>
            </m:r>
          </m:den>
        </m:f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, (6)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ahonnan a terjedési sebességre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f</m:t>
                </m:r>
              </m:den>
            </m:f>
            <m:f>
              <m:num>
                <m:r>
                  <w:rPr>
                    <w:rFonts w:ascii="Cambria Math" w:hAnsi="Cambria Math"/>
                  </w:rPr>
                  <m:t xml:space="preserve">R</m:t>
                </m:r>
              </m:num>
              <m:den>
                <m:r>
                  <w:rPr>
                    <w:rFonts w:ascii="Cambria Math" w:hAnsi="Cambria Math"/>
                  </w:rPr>
                  <m:t xml:space="preserve">M</m:t>
                </m:r>
              </m:den>
            </m:f>
            <m:r>
              <w:rPr>
                <w:rFonts w:ascii="Cambria Math" w:hAnsi="Cambria Math"/>
              </w:rPr>
              <m:t xml:space="preserve">T</m:t>
            </m:r>
          </m:e>
        </m:rad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(7)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kifejezés adódik.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Azonban a levegő egy kétkomponensű gázkeverék (jó közelítéssel), itt óvatosabban kell eljárnunk.  Ekkor abból indulunk ki, hogy a Dalton törvénye szerint gázkeverékre a nyomás a parciális nyomások összege, azaz a mi esetünkben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, (8)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ahol az indexek az egyes komponensekre utalnak. A gáztörvény felhasználásával (8) alapján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pV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+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RT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, (9)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valamint nyilván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ρ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. (10)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Így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ρ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d>
          <m:dPr>
            <m:begChr m:val="("/>
            <m:endChr m:val=")"/>
          </m:dPr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+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RT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. (11)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Célszerű a molszámokra áttérni, mivel ezt ismerjük egy gázkeveréknél, ezzel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ρ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  <m:r>
          <w:rPr>
            <w:rFonts w:ascii="Cambria Math" w:hAnsi="Cambria Math"/>
          </w:rPr>
          <m:t xml:space="preserve">RT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, (12)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amely az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e>
            </m:d>
          </m:den>
        </m:f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és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e>
            </m:d>
          </m:den>
        </m:f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arányok bevezetésével adja, hogy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ρ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d>
              <m:dPr>
                <m:begChr m:val="⟨"/>
                <m:endChr m:val="⟩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</m:d>
          </m:den>
        </m:f>
        <m:r>
          <w:rPr>
            <w:rFonts w:ascii="Cambria Math" w:hAnsi="Cambria Math"/>
          </w:rPr>
          <m:t xml:space="preserve">T</m:t>
        </m:r>
      </m:oMath>
      <w:r>
        <w:rPr>
          <w:rFonts w:eastAsia="Times New Roman" w:cs="Times New Roman"/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, (13)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ahol bevezettük a </w:t>
      </w:r>
      <w:r>
        <w:rPr/>
      </w:r>
      <m:oMath xmlns:m="http://schemas.openxmlformats.org/officeDocument/2006/math">
        <m:d>
          <m:dPr>
            <m:begChr m:val="⟨"/>
            <m:endChr m:val="⟩"/>
          </m:dPr>
          <m:e>
            <m:r>
              <w:rPr>
                <w:rFonts w:ascii="Cambria Math" w:hAnsi="Cambria Math"/>
              </w:rPr>
              <m:t xml:space="preserve">M</m:t>
            </m:r>
          </m:e>
        </m:d>
      </m:oMath>
      <w:r>
        <w:rPr>
          <w:b w:val="false"/>
          <w:bCs w:val="false"/>
        </w:rPr>
        <w:t>átlagos moláris tömeget, amelyet  két moláris tömeg súlyozott átlaga.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Megjegyezzük, hogy amennyiben különböző szabadsági fokú gázokat keverünk össze akkor a </w:t>
      </w:r>
      <w:r>
        <w:rPr>
          <w:b w:val="false"/>
          <w:bCs w:val="false"/>
          <w:i/>
          <w:iCs/>
        </w:rPr>
        <w:t>c</w:t>
      </w:r>
      <w:r>
        <w:rPr>
          <w:b w:val="false"/>
          <w:bCs w:val="false"/>
          <w:i/>
          <w:iCs/>
          <w:vertAlign w:val="subscript"/>
        </w:rPr>
        <w:t>p</w:t>
      </w: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>/c</w:t>
      </w:r>
      <w:r>
        <w:rPr>
          <w:b w:val="false"/>
          <w:bCs w:val="false"/>
          <w:i/>
          <w:iCs/>
          <w:vertAlign w:val="subscript"/>
        </w:rPr>
        <w:t>v</w:t>
      </w: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 xml:space="preserve">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arány kiszámításakor is figyelembe kell venni az atomszám arányokat, de mivel a levegő döntő többségben kétatomos gázokból áll a mi esetünkben ennek nincs jelentősége.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A fentiek alapján a különböző gázokban a hang terjedési sebességek arányát adott hőmérsékleten 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f</m:t>
                </m:r>
              </m:den>
            </m:f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M</m:t>
                </m:r>
              </m:den>
            </m:f>
          </m:e>
        </m:rad>
      </m:oMath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(14)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mennyiségek aránya határozza meg, ahol </w:t>
      </w: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>M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 xml:space="preserve"> természetesen a megfelelő átlagos érték.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Behelyettesítés után   a héliumban és levegőben való terjedési sebességek aránya c_</w:t>
      </w:r>
      <w:r>
        <w:rPr>
          <w:b w:val="false"/>
          <w:bCs w:val="false"/>
          <w:vertAlign w:val="subscript"/>
        </w:rPr>
        <w:t>hélium</w:t>
      </w:r>
      <w:r>
        <w:rPr>
          <w:b w:val="false"/>
          <w:bCs w:val="false"/>
          <w:position w:val="0"/>
          <w:sz w:val="24"/>
          <w:sz w:val="24"/>
          <w:vertAlign w:val="baseline"/>
        </w:rPr>
        <w:t>/c</w:t>
      </w:r>
      <w:r>
        <w:rPr>
          <w:b w:val="false"/>
          <w:bCs w:val="false"/>
          <w:vertAlign w:val="subscript"/>
        </w:rPr>
        <w:t>levegő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=2.93.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Ezzel szemben a mért arány csak 2.43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2%. Ez azt jelenti, hogy a használt hélium gáz nem tiszta, más gázt (valószínűleg vízgőzt) is tartalmaz.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Pontozás: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>helyes mérés: 2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>helyes elméleti számolás: 6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>az eltérés magyarázata: 1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3.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A csövet argonnal feltöltve mérje meg a hang terjedési sebességét argonban! Hasonlítsa ezt össze a levegőben mért értékkel. Az előző feladatban megadott elméletet alkalmazza argonra is az elméleti sebességarány megadására! </w:t>
      </w:r>
      <w:r>
        <w:rPr>
          <w:b w:val="false"/>
          <w:bCs w:val="false"/>
        </w:rPr>
        <w:t>3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Az argon esetén a mért futási idő 5010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1% </w:t>
      </w:r>
      <w:r>
        <w:rPr>
          <w:b w:val="false"/>
          <w:bCs w:val="false"/>
          <w:position w:val="0"/>
          <w:sz w:val="24"/>
          <w:sz w:val="24"/>
          <w:vertAlign w:val="baseline"/>
        </w:rPr>
        <w:t>u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s. Ennek megfelelően a mért terjedési sebesség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c= 319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1% m/s.  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>Az elméletileg számol sebességarány c_</w:t>
      </w:r>
      <w:r>
        <w:rPr>
          <w:b w:val="false"/>
          <w:bCs w:val="false"/>
          <w:sz w:val="24"/>
          <w:vertAlign w:val="subscript"/>
        </w:rPr>
        <w:t>argon</w:t>
      </w:r>
      <w:r>
        <w:rPr>
          <w:b w:val="false"/>
          <w:bCs w:val="false"/>
          <w:position w:val="0"/>
          <w:sz w:val="24"/>
          <w:sz w:val="24"/>
          <w:vertAlign w:val="baseline"/>
        </w:rPr>
        <w:t>/c</w:t>
      </w:r>
      <w:r>
        <w:rPr>
          <w:b w:val="false"/>
          <w:bCs w:val="false"/>
          <w:sz w:val="24"/>
          <w:vertAlign w:val="subscript"/>
        </w:rPr>
        <w:t>levegő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=0.926. A mért arány pedig 0.935 </w:t>
      </w:r>
      <w:r>
        <w:rPr>
          <w:rFonts w:eastAsia="Times New Roman" w:cs="Times New Roman"/>
          <w:b w:val="false"/>
          <w:bCs w:val="false"/>
          <w:position w:val="0"/>
          <w:sz w:val="24"/>
          <w:sz w:val="24"/>
          <w:vertAlign w:val="baseline"/>
        </w:rPr>
        <w:t>±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2%, amely hibahatáron belül megegyezik az elméletileg számolt értékkel. 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>Pontozás: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>helyes mérés: 2 pont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>helyes számolás: 1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>4.</w:t>
      </w:r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</w:t>
      </w:r>
      <w:r>
        <w:rPr>
          <w:b/>
          <w:bCs/>
          <w:position w:val="0"/>
          <w:sz w:val="24"/>
          <w:sz w:val="24"/>
          <w:vertAlign w:val="baseline"/>
        </w:rPr>
        <w:t xml:space="preserve">8-10 különböző áramlási sebesség mellett mérje meg a hangimpulzus áthaladásának sebességét. A kiértékelésnél vegye figyelembe, hogy a berendezés felépítésének következtében az áramló levegőoszlop hossza csak 130 cm!  </w:t>
      </w:r>
      <w:r>
        <w:rPr>
          <w:b/>
          <w:bCs/>
        </w:rPr>
        <w:t xml:space="preserve">  Egy az eredményeket jól mutató ábrázolási módot választva grafikusan ábrázolja a kapott eredményt, majd értelmezze mit kapott. Mi okozhatja nagyobb sebességeknél a várakozástól jelentősen eltérő eredményt? A mérés alapján állapítsa meg, hogy melyik oldalon van a hangszóró és melyiken a mikrofon!</w:t>
      </w:r>
      <w:r>
        <w:rPr>
          <w:b w:val="false"/>
          <w:bCs w:val="false"/>
        </w:rPr>
        <w:t xml:space="preserve"> 12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877570</wp:posOffset>
            </wp:positionH>
            <wp:positionV relativeFrom="paragraph">
              <wp:posOffset>137160</wp:posOffset>
            </wp:positionV>
            <wp:extent cx="4572000" cy="342900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i/>
          <w:i/>
          <w:iCs/>
        </w:rPr>
      </w:pPr>
      <w:r>
        <w:rPr>
          <w:b w:val="false"/>
          <w:bCs w:val="false"/>
          <w:i/>
          <w:iCs/>
        </w:rPr>
        <w:t xml:space="preserve">2. ábra. Gázsebesség kalibrációs görbe.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A kiáramló gázsebesség méréséhez egy ventilátor által indukált feszültség mérését végezzük. A  tényleges sebesség és a feszültség közötti összefüggést egy hitelesített gázsebesség mérővel felvettük. A kapott kalibrációs görbe látható a 2. ábrán. Megjegyezzük, hogy a ventilátorok az egyes mérőhelyeke nem teljesen egyformák, ezért a kalibrációs görbe is kicsit más lehet az egyes merőhelyeken.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Amint az a feladatok leírásában is szerepel a mérési adatok kiértékeléséhez figyelembe kell venni, hogy a gáz csak 130 cm hosszan áramlik. A maradék 30 cm-en a korábban mért „álló” levegőnek megfelelő terjedési sebességgel kel számolni.  Ezért a mért futási időkből először levonjuk a 30cm-es álló levegőben való futáshoz tartozó értéket. Az így korrigált időkkel 130 cm-ren számoljuk a sebességet.   A kapott eredmények a 3. ábrán láthatók.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3429000"/>
            <wp:effectExtent l="0" t="0" r="0" b="0"/>
            <wp:wrapTopAndBottom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/>
          <w:i/>
          <w:iCs/>
        </w:rPr>
      </w:pPr>
      <w:r>
        <w:rPr>
          <w:b w:val="false"/>
          <w:bCs w:val="false"/>
          <w:i/>
          <w:iCs/>
        </w:rPr>
        <w:t>3. ábra Az „effektív” terjedési sebesség változása a gáz áramlási sebességének függvényben.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jobb láthatóság kedvéért a függőleges tengelyen célszerű az álló levegőben mért értéktől való eltérést ábrázolni.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pontokra egy egyenest illesztve látható, hogy a terjedési sebesség változása megegyezik a gáz áramlási sebességével. Tehát amint az várható, az áramló közegben a hang a közeggel együtt mozgó koordináta rendszerben ugyanazzal a sebességgel terjed min az állóban. Látjuk azonban, hogy a legnagyobb sebesség esetén ez már nem igaz. Ennek oka, hogy ilyenkor az áramlás már nem lamináris, turbulensé válik. Ekkor már az előbbi egyszerű „összeadódási” szabály nem igaz.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Mivel a csőben a gáz balról jobbra áramlik és az áramlás következtében a hangimpulzus haladási ideje megnő az alkalmazott mérési eljárásban a hang a gáz terjedési sebességével ellentétes irányban halad. Tehát a hangszóró a jobb oldalon van.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Pontozás: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 mérés helyes elvégzése: 4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 mérési adatok helyes ábrázolása: 7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 hangszóró elhelyezkedésnek megadása: 1 pont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</w:p>
    <w:p>
      <w:pPr>
        <w:pStyle w:val="Normal"/>
        <w:spacing w:before="120" w:after="120"/>
        <w:jc w:val="left"/>
        <w:rPr/>
      </w:pPr>
      <w:r>
        <w:rPr>
          <w:b/>
          <w:bCs/>
        </w:rPr>
        <w:t>5</w:t>
      </w:r>
      <w:r>
        <w:rPr/>
        <w:t xml:space="preserve">. </w:t>
      </w:r>
      <w:r>
        <w:rPr>
          <w:b/>
          <w:bCs/>
        </w:rPr>
        <w:t xml:space="preserve">A csövet levegővel feltöltve 5-6 hőmérsékleten mérje meg a hang terjedési sebességét! Az eredményeket ábrázolja egy olyan grafikonon, amely könnyen értelmezhető és igazolja az elmélet várakozást. </w:t>
      </w:r>
      <w:r>
        <w:rPr>
          <w:b/>
          <w:bCs/>
          <w:position w:val="0"/>
          <w:sz w:val="24"/>
          <w:sz w:val="24"/>
          <w:vertAlign w:val="baseline"/>
        </w:rPr>
        <w:t xml:space="preserve">A kiértékelésnél itt is vegye figyelembe, hogy a berendezés felépítésének következtében a cső csak 130 cm hosszan van melegítve! A két kilógó 15 cm-es darabon jó közelítéssel a szobahőmérsékletnek megfelelő terjedési sebességet használhatjuk. </w:t>
      </w:r>
      <w:r>
        <w:rPr/>
        <w:t xml:space="preserve"> 15 pont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A mérési adatok kiértékeléséhez itt is először ki kell számítani a 130 cm-es melegített szakaszhoz tartozó „redukált” futási időt. Jó közelítéssel feltehetjük, hogy a nem melegített 30 cm-es szakaszon a gáz hőmérséklete megegyezik a szobahőmérséklettel. Ez nyilván nem teljesen igaz, de amint az adatok kiértékelése mutatja ez a közelítés nem okoz jelentős hibát.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Mivel a terjedési sebesség aranyos a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T</m:t>
            </m:r>
          </m:e>
        </m:rad>
      </m:oMath>
      <w:r>
        <w:rPr/>
        <w:t xml:space="preserve">-vel célszerű a vízszintes tengelyen a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273.15</m:t>
            </m:r>
          </m:e>
        </m:rad>
      </m:oMath>
      <w:r>
        <w:rPr/>
        <w:t xml:space="preserve"> értékeket ábrázolni ahol </w:t>
      </w:r>
      <w:r>
        <w:rPr>
          <w:i/>
          <w:iCs/>
        </w:rPr>
        <w:t xml:space="preserve">t </w:t>
      </w:r>
      <w:r>
        <w:rPr>
          <w:i w:val="false"/>
          <w:iCs w:val="false"/>
        </w:rPr>
        <w:t xml:space="preserve">a Celsius fokban mért hőmérséklet. A kapott eredmények a 4. ábrán láthatók.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/>
          <w:i/>
          <w:iCs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3429000"/>
            <wp:effectExtent l="0" t="0" r="0" b="0"/>
            <wp:wrapTopAndBottom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4</w:t>
      </w:r>
      <w:r>
        <w:rPr>
          <w:i/>
          <w:iCs/>
        </w:rPr>
        <w:t>. ábra A terjedési sebesség függése a hőmérséklettől.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Amint látható a mérési adatok ebben az ábrázolásban jól illeszkednek egy egyenesre ami megfelel az elméleti várakozásnak.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Pontozás:</w:t>
      </w:r>
    </w:p>
    <w:p>
      <w:pPr>
        <w:pStyle w:val="Normal"/>
        <w:rPr/>
      </w:pPr>
      <w:r>
        <w:rPr>
          <w:i w:val="false"/>
          <w:iCs w:val="false"/>
        </w:rPr>
        <w:tab/>
        <w:t>a mérés helyes elvégzése: 8 pont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1134" w:header="709" w:top="851" w:footer="17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i w:val="false"/>
          <w:iCs w:val="false"/>
        </w:rPr>
        <w:tab/>
        <w:t xml:space="preserve">a megfelelő ábra elkészítése és az eredmény helyes értelmezése 7 pont.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rPr>
          <w:i w:val="false"/>
          <w:i w:val="false"/>
          <w:iCs w:val="false"/>
        </w:rPr>
      </w:pPr>
      <w:r>
        <w:rPr>
          <w:i w:val="false"/>
          <w:iCs w:val="false"/>
        </w:rPr>
      </w:r>
      <w:r>
        <w:br w:type="page"/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09" w:top="85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ajan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536"/>
        <w:tab w:val="clear" w:pos="9072"/>
        <w:tab w:val="left" w:pos="-142" w:leader="none"/>
      </w:tabs>
      <w:ind w:left="-1134" w:right="-568" w:hanging="0"/>
      <w:rPr>
        <w:sz w:val="22"/>
      </w:rPr>
    </w:pPr>
    <w:r>
      <w:rPr>
        <w:sz w:val="22"/>
      </w:rPr>
      <w:tab/>
      <w:t>Az Országos Középiskolai Tanulmányi Versenyek megvalósulását az NTP-TMV-M-21-A0002 projekt támogatja.</w:t>
    </w:r>
    <w:r>
      <w:rPr/>
      <w:drawing>
        <wp:inline distT="0" distB="0" distL="0" distR="0">
          <wp:extent cx="7524115" cy="1092835"/>
          <wp:effectExtent l="0" t="0" r="0" b="0"/>
          <wp:docPr id="6" name="Kép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tabs>
        <w:tab w:val="clear" w:pos="9072"/>
        <w:tab w:val="center" w:pos="4536" w:leader="none"/>
        <w:tab w:val="right" w:pos="9638" w:leader="none"/>
      </w:tabs>
      <w:rPr/>
    </w:pPr>
    <w:r>
      <w:rPr/>
      <w:t>OKTV 2021/2022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ab/>
      <w:t>döntő forduló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Rcsostblzat"/>
      <w:tblW w:w="963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638"/>
    </w:tblGrid>
    <w:tr>
      <w:trPr>
        <w:trHeight w:val="1191" w:hRule="exact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jc w:val="center"/>
            <w:rPr>
              <w:rFonts w:ascii="Times New Roman" w:hAnsi="Times New Roman" w:eastAsia="Times New Roman" w:cs="Times New Roman"/>
              <w:szCs w:val="20"/>
              <w:lang w:eastAsia="hu-HU"/>
            </w:rPr>
          </w:pPr>
          <w:r>
            <w:rPr>
              <w:szCs w:val="20"/>
              <w:lang w:eastAsia="hu-HU"/>
            </w:rPr>
            <w:drawing>
              <wp:inline distT="0" distB="0" distL="0" distR="0">
                <wp:extent cx="347980" cy="686435"/>
                <wp:effectExtent l="0" t="0" r="0" b="0"/>
                <wp:docPr id="5" name="Kép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6941" t="25157" r="47016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8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numPr>
              <w:ilvl w:val="0"/>
              <w:numId w:val="0"/>
            </w:numPr>
            <w:ind w:left="0" w:hanging="0"/>
            <w:jc w:val="center"/>
            <w:outlineLvl w:val="0"/>
            <w:rPr>
              <w:rFonts w:ascii="Times New Roman" w:hAnsi="Times New Roman" w:eastAsia="Times New Roman" w:cs="Times New Roman"/>
              <w:szCs w:val="20"/>
              <w:lang w:eastAsia="hu-HU"/>
            </w:rPr>
          </w:pPr>
          <w:r>
            <w:rPr>
              <w:rFonts w:eastAsia="Times New Roman" w:cs="Times New Roman" w:ascii="Trajan Pro" w:hAnsi="Trajan Pro"/>
              <w:bCs/>
              <w:szCs w:val="20"/>
              <w:lang w:eastAsia="hu-HU"/>
            </w:rPr>
            <w:t>OKTATÁSI HIVATAL</w:t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tabs>
        <w:tab w:val="clear" w:pos="4536"/>
        <w:tab w:val="clear" w:pos="9072"/>
        <w:tab w:val="right" w:pos="9638" w:leader="none"/>
      </w:tabs>
      <w:rPr>
        <w:color w:val="000000" w:themeColor="text1"/>
      </w:rPr>
    </w:pPr>
    <w:r>
      <w:rPr>
        <w:color w:val="000000" w:themeColor="text1"/>
      </w:rPr>
      <w:t>Fizika II. kategória</w:t>
      <w:tab/>
      <w:t>Javítási-értékelési útmutató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713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b7131e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b7131e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b713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b7131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b7131e"/>
    <w:pPr>
      <w:spacing w:after="0" w:line="240" w:lineRule="auto"/>
    </w:pPr>
    <w:rPr>
      <w:lang w:eastAsia="hu-H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Application>LibreOffice/6.4.7.2$Linux_X86_64 LibreOffice_project/40$Build-2</Application>
  <Pages>9</Pages>
  <Words>1257</Words>
  <Characters>7406</Characters>
  <CharactersWithSpaces>8671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2022-03-09T10:56:00Z</dcterms:created>
  <dc:creator>Reményiné Tóth Andrea</dc:creator>
  <dc:description/>
  <dc:language>hu-HU</dc:language>
  <cp:lastModifiedBy/>
  <dcterms:modified xsi:type="dcterms:W3CDTF">2022-04-19T17:50:33Z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