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210" w:type="dxa"/>
        <w:jc w:val="center"/>
        <w:tblInd w:w="0" w:type="dxa"/>
        <w:tblBorders>
          <w:bottom w:val="thinThickSmallGap" w:sz="24" w:space="0" w:color="000001"/>
          <w:insideH w:val="thinThickSmallGap" w:sz="2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8288"/>
      </w:tblGrid>
      <w:tr>
        <w:trPr/>
        <w:tc>
          <w:tcPr>
            <w:tcW w:w="921" w:type="dxa"/>
            <w:tcBorders>
              <w:bottom w:val="thinThickSmallGap" w:sz="24" w:space="0" w:color="000001"/>
              <w:insideH w:val="thinThickSmallGap" w:sz="24" w:space="0" w:color="000001"/>
            </w:tcBorders>
            <w:shd w:fill="auto" w:val="clear"/>
          </w:tcPr>
          <w:p>
            <w:pPr>
              <w:pStyle w:val="Normal"/>
              <w:rPr>
                <w:rFonts w:ascii="Garamond" w:hAnsi="Garamond" w:cs="Garamond"/>
                <w:b/>
                <w:b/>
                <w:spacing w:val="46"/>
                <w:sz w:val="44"/>
                <w:szCs w:val="44"/>
              </w:rPr>
            </w:pPr>
            <w:r>
              <w:rPr/>
              <w:drawing>
                <wp:inline distT="0" distB="0" distL="0" distR="0">
                  <wp:extent cx="381000" cy="638175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tcBorders>
              <w:bottom w:val="thinThickSmallGap" w:sz="24" w:space="0" w:color="000001"/>
              <w:insideH w:val="thinThickSmallGap" w:sz="2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rFonts w:ascii="Garamond" w:hAnsi="Garamond" w:cs="Garamond"/>
                <w:b/>
                <w:b/>
                <w:spacing w:val="46"/>
                <w:sz w:val="44"/>
                <w:szCs w:val="44"/>
              </w:rPr>
            </w:pPr>
            <w:r>
              <w:rPr>
                <w:rFonts w:cs="Garamond" w:ascii="Garamond" w:hAnsi="Garamond"/>
                <w:b/>
                <w:spacing w:val="46"/>
                <w:sz w:val="44"/>
                <w:szCs w:val="44"/>
              </w:rPr>
              <w:t>Oktatási Hivatal</w:t>
            </w:r>
          </w:p>
        </w:tc>
      </w:tr>
      <w:tr>
        <w:trPr/>
        <w:tc>
          <w:tcPr>
            <w:tcW w:w="9209" w:type="dxa"/>
            <w:gridSpan w:val="2"/>
            <w:tcBorders>
              <w:top w:val="thinThickSmallGap" w:sz="24" w:space="0" w:color="000001"/>
              <w:bottom w:val="thinThickSmallGap" w:sz="24" w:space="0" w:color="000001"/>
              <w:insideH w:val="thinThickSmallGap" w:sz="24" w:space="0" w:color="000001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/>
                <w:color w:val="000000"/>
                <w:sz w:val="28"/>
                <w:szCs w:val="28"/>
              </w:rPr>
              <w:t>A 2016/2017. tanévi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Országos Középiskolai Tanulmányi Verseny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döntő forduló 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/>
                <w:caps/>
                <w:color w:val="000000"/>
                <w:sz w:val="32"/>
                <w:szCs w:val="32"/>
              </w:rPr>
              <w:t>Fizika I. kategória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sz w:val="28"/>
                <w:szCs w:val="28"/>
              </w:rPr>
              <w:t>2017-ben</w:t>
            </w:r>
          </w:p>
          <w:p>
            <w:pPr>
              <w:pStyle w:val="Normal"/>
              <w:jc w:val="center"/>
              <w:rPr>
                <w:b/>
                <w:b/>
                <w:caps/>
                <w:color w:val="000000"/>
                <w:sz w:val="28"/>
                <w:szCs w:val="28"/>
              </w:rPr>
            </w:pPr>
            <w:r>
              <w:rPr>
                <w:b/>
                <w:caps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cap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caps/>
                <w:color w:val="000000"/>
                <w:sz w:val="28"/>
                <w:szCs w:val="28"/>
                <w:u w:val="single"/>
              </w:rPr>
              <w:t>FELADATok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lineRule="auto" w:line="360"/>
        <w:rPr/>
      </w:pPr>
      <w:r>
        <w:rPr/>
      </w:r>
    </w:p>
    <w:p>
      <w:pPr>
        <w:pStyle w:val="Normal"/>
        <w:jc w:val="center"/>
        <w:rPr/>
      </w:pPr>
      <w:r>
        <w:rPr>
          <w:rFonts w:eastAsia="Liberation Serif;Times New Roman" w:cs="Liberation Serif;Times New Roman"/>
          <w:b/>
          <w:bCs/>
          <w:sz w:val="28"/>
          <w:szCs w:val="28"/>
          <w:lang w:val="hu-HU"/>
        </w:rPr>
        <w:t>„</w:t>
      </w:r>
      <w:r>
        <w:rPr>
          <w:b/>
          <w:bCs/>
          <w:sz w:val="28"/>
          <w:szCs w:val="28"/>
          <w:lang w:val="hu-HU"/>
        </w:rPr>
        <w:t>Bimetal motor tulajdonságainak vizsgálata”</w:t>
      </w:r>
    </w:p>
    <w:p>
      <w:pPr>
        <w:pStyle w:val="Normal"/>
        <w:jc w:val="center"/>
        <w:rPr>
          <w:b/>
          <w:b/>
          <w:bCs/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</w:r>
    </w:p>
    <w:p>
      <w:pPr>
        <w:pStyle w:val="Normal"/>
        <w:jc w:val="center"/>
        <w:rPr>
          <w:b/>
          <w:b/>
          <w:bCs/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</w:r>
    </w:p>
    <w:p>
      <w:pPr>
        <w:pStyle w:val="Normal"/>
        <w:jc w:val="center"/>
        <w:rPr>
          <w:b/>
          <w:b/>
          <w:bCs/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</w:r>
    </w:p>
    <w:p>
      <w:pPr>
        <w:pStyle w:val="Normal"/>
        <w:jc w:val="left"/>
        <w:rPr>
          <w:b/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>A mérőberendezés leírása: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lang w:val="hu-HU"/>
        </w:rPr>
        <w:t xml:space="preserve">A vizsgálandó motor egy könnyen forgó csapággyal ellátott hengerből sugár irányban kiálló 12 vékony réz és acél lemezből összeragasztott bimetál lemezből áll. A kerék felső felét egy változtatható teljesítményű hősugárzóval fűtjük. A teljesítmény szabályozására a szabályozó elektronika előlapján található potenciométer szolgál, amelynek elforgatásával az elfordulási szöggel arányosan a teljesítmény 0 és 1.8kW között változtatható. A fűtés bekapcsolása után a kerék forgásba jön. Ugyanakkor a kerék jobb oldalán elhelyezett karral a kerék helyzete rögzíthető.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  <w:lang w:val="hu-HU"/>
        </w:rPr>
      </w:pPr>
      <w:r>
        <w:rPr>
          <w:b w:val="false"/>
          <w:bCs w:val="false"/>
          <w:sz w:val="24"/>
          <w:szCs w:val="24"/>
          <w:lang w:val="hu-HU"/>
        </w:rPr>
        <w:t xml:space="preserve">A kerékre külső forgatónyomatékot adhatunk a tengellyel összekötött  1cm sugarú hengerre felcsavar cérnára akasztott súlyokkal. A kívánt forgatónyomatékot megfelelő mennyiségű, 4 különböző méretű anyacsavarnak a cérna végére akasztott könnyű tartóba való elhelyezésével érhetjük el. Az anyacsavarok tömegei a következők: M4: 0,69g, M5: 1,05g, M6: 2,0g, M12:14,8g.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  <w:lang w:val="hu-HU"/>
        </w:rPr>
      </w:pPr>
      <w:r>
        <w:rPr>
          <w:b w:val="false"/>
          <w:bCs w:val="false"/>
          <w:sz w:val="24"/>
          <w:szCs w:val="24"/>
          <w:lang w:val="hu-HU"/>
        </w:rPr>
        <w:t xml:space="preserve">A méréshez rendelkezésre áll 1 db stopperóra.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  <w:lang w:val="hu-HU"/>
        </w:rPr>
      </w:pPr>
      <w:r>
        <w:rPr>
          <w:b w:val="false"/>
          <w:bCs w:val="false"/>
          <w:sz w:val="24"/>
          <w:szCs w:val="24"/>
          <w:lang w:val="hu-HU"/>
        </w:rPr>
      </w:r>
    </w:p>
    <w:p>
      <w:pPr>
        <w:pStyle w:val="Normal"/>
        <w:jc w:val="left"/>
        <w:rPr>
          <w:b/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>Figyelmeztetés: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lang w:val="hu-HU"/>
        </w:rPr>
        <w:t xml:space="preserve">A fűtéshez használt hősugárzó meleg. A köré elhelyezett hőszigetelés biztosítja, hogy ne tudjuk megégetni magunkat. Ugyanakkor semmiképpen ne nyúljunk a berendezés belsejébe! Erre a mérések elvégzéséhez nincs szükség. Bármilyen esetleges probléma esetén forduljunk a jelenlevő tanárokhoz! </w:t>
      </w:r>
      <w:r>
        <w:rPr>
          <w:b/>
          <w:bCs/>
          <w:sz w:val="24"/>
          <w:szCs w:val="24"/>
          <w:lang w:val="hu-HU"/>
        </w:rPr>
        <w:t xml:space="preserve"> </w:t>
      </w:r>
      <w:r>
        <w:rPr>
          <w:b w:val="false"/>
          <w:bCs w:val="false"/>
          <w:sz w:val="24"/>
          <w:szCs w:val="24"/>
          <w:lang w:val="hu-HU"/>
        </w:rPr>
        <w:t xml:space="preserve">           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>
          <w:b/>
          <w:b/>
          <w:bCs/>
          <w:lang w:val="hu-HU"/>
        </w:rPr>
      </w:pPr>
      <w:r>
        <w:rPr>
          <w:b/>
          <w:bCs/>
          <w:lang w:val="hu-HU"/>
        </w:rPr>
        <w:t>Mérési feladatok:</w:t>
      </w:r>
    </w:p>
    <w:p>
      <w:pPr>
        <w:pStyle w:val="Normal"/>
        <w:jc w:val="left"/>
        <w:rPr>
          <w:b/>
          <w:b/>
          <w:bCs/>
          <w:lang w:val="hu-HU"/>
        </w:rPr>
      </w:pPr>
      <w:r>
        <w:rPr>
          <w:b/>
          <w:bCs/>
          <w:lang w:val="hu-HU"/>
        </w:rPr>
      </w:r>
    </w:p>
    <w:p>
      <w:pPr>
        <w:pStyle w:val="Normal"/>
        <w:jc w:val="left"/>
        <w:rPr>
          <w:b/>
          <w:b/>
          <w:bCs/>
          <w:lang w:val="hu-HU"/>
        </w:rPr>
      </w:pPr>
      <w:r>
        <w:rPr>
          <w:b/>
          <w:bCs/>
          <w:lang w:val="hu-HU"/>
        </w:rPr>
        <w:t xml:space="preserve">1. A rendszer tehetetlenségi nyomatékának meghatározása. 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>A rendszert ne fűtsük be! Egy megfelelő súly ráakasztásával (kb. 5g) 5 pontban mérjük meg az adott elforduláshoz tartozó időt! Minden mérés állóhelyzetből indítsunk! A szögeket a lapátok segítségével mérjük, egész lapátnyi elfordulás alapján. A mérésekből készített megfelelő grafikon alapján határozzuk meg a kerék tehetetlenségi nyomatékát!  Megjegyezzük, hogy a csapágy és az alátámasztás közötti súrlódás elhanyagolható.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ab/>
        <w:tab/>
        <w:tab/>
        <w:tab/>
        <w:tab/>
        <w:tab/>
        <w:tab/>
        <w:tab/>
        <w:tab/>
        <w:tab/>
        <w:t>10 pont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/>
      </w:pPr>
      <w:r>
        <w:rPr>
          <w:b/>
          <w:bCs/>
          <w:lang w:val="hu-HU"/>
        </w:rPr>
        <w:t xml:space="preserve">2. Súlypont eltolódás dinamikus  meghatározása 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>4 különböző fűtőteljesítmény  mellett mérjük meg az induló gyorsulást az 1 lapátnyi elforduláshoz tartozó idő megmérésével! Mindig álló helyzetből indítsuk a mérést és várjuk megy amíg a hőmérséklet beáll! Ez kb. 5 perc. Minden mérést többször ismételjünk meg! Ebből az előző mérési eredmény felhasználásával határozzuk meg a rendszer vízszintes irányú súlyponteltolódásának mértékét! Az eredmény ábrázoljuk grafikusan! A forgórész tömege 155 g.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ab/>
        <w:tab/>
        <w:tab/>
        <w:tab/>
        <w:tab/>
        <w:tab/>
        <w:tab/>
        <w:tab/>
        <w:tab/>
        <w:tab/>
        <w:t>10 pont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/>
      </w:pPr>
      <w:r>
        <w:rPr>
          <w:b/>
          <w:bCs/>
          <w:lang w:val="hu-HU"/>
        </w:rPr>
        <w:t xml:space="preserve">3. Súlypont eltolódás statikus  meghatározása 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 xml:space="preserve">Az előző mérésnél használt fűtőteljesítmények mellett mérjük meg, hogy mekkora súllyal tudjuk egyensúlyban tartani a rendszert!    Itt is határozzuk meg a rendszer vízszintes irányú súlyponteltolódásának mértékét. Az eredményeket hasonlítsuk össze az előző mérés eredményeivel. 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ab/>
        <w:tab/>
        <w:tab/>
        <w:tab/>
        <w:tab/>
        <w:tab/>
        <w:tab/>
        <w:tab/>
        <w:tab/>
        <w:tab/>
        <w:t>10 pont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/>
      </w:pPr>
      <w:r>
        <w:rPr>
          <w:b/>
          <w:bCs/>
          <w:lang w:val="hu-HU"/>
        </w:rPr>
        <w:t>4. Állandósult forgási sebesség meghatározása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>Mérjük meg, hogy hogyan függ az állandósult forgási sebesség a fűtési teljesítménytől. Készítsünk grafikont!</w:t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</w:r>
    </w:p>
    <w:p>
      <w:pPr>
        <w:pStyle w:val="Normal"/>
        <w:jc w:val="left"/>
        <w:rPr>
          <w:lang w:val="hu-HU"/>
        </w:rPr>
      </w:pPr>
      <w:r>
        <w:rPr>
          <w:lang w:val="hu-HU"/>
        </w:rPr>
        <w:tab/>
        <w:tab/>
        <w:tab/>
        <w:tab/>
        <w:tab/>
        <w:tab/>
        <w:tab/>
        <w:tab/>
        <w:tab/>
        <w:tab/>
        <w:t>10 pont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  <w:t xml:space="preserve">A mérés elvégzéséhez 4 óra áll rendelkezésre. A feladatok megoldásához számítógép és telekommunikációs eszköz kivételével bármilyen segédeszköz használható. Ha valamelyik eszközzel problémája van, forduljon a felügyelő tanárhoz. 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  <w:t>Jó munkát!</w:t>
      </w:r>
    </w:p>
    <w:p>
      <w:pPr>
        <w:pStyle w:val="Normal"/>
        <w:spacing w:lineRule="auto" w:line="360"/>
        <w:jc w:val="left"/>
        <w:rPr>
          <w:rFonts w:eastAsia="Liberation Serif;Times New Roman" w:cs="Liberation Serif;Times New Roman"/>
          <w:i/>
          <w:i/>
          <w:lang w:val="hu-HU"/>
        </w:rPr>
      </w:pPr>
      <w:r>
        <w:rPr>
          <w:rFonts w:eastAsia="Liberation Serif;Times New Roman" w:cs="Liberation Serif;Times New Roman"/>
          <w:i/>
          <w:lang w:val="hu-HU"/>
        </w:rPr>
        <w:t xml:space="preserve"> </w:t>
      </w:r>
    </w:p>
    <w:p>
      <w:pPr>
        <w:pStyle w:val="Normal"/>
        <w:jc w:val="left"/>
        <w:rPr>
          <w:rFonts w:eastAsia="Liberation Serif;Times New Roman" w:cs="Liberation Serif;Times New Roman"/>
          <w:lang w:val="hu-HU"/>
        </w:rPr>
      </w:pPr>
      <w:r>
        <w:rPr>
          <w:rFonts w:eastAsia="Liberation Serif;Times New Roman" w:cs="Liberation Serif;Times New Roman"/>
          <w:lang w:val="hu-HU"/>
        </w:rPr>
        <w:t xml:space="preserve"> </w:t>
      </w:r>
    </w:p>
    <w:p>
      <w:pPr>
        <w:pStyle w:val="Normal"/>
        <w:jc w:val="left"/>
        <w:rPr>
          <w:rFonts w:eastAsia="Liberation Serif;Times New Roman" w:cs="Liberation Serif;Times New Roman"/>
          <w:i/>
          <w:i/>
          <w:lang w:val="hu-HU"/>
        </w:rPr>
      </w:pPr>
      <w:r>
        <w:rPr>
          <w:rFonts w:eastAsia="Liberation Serif;Times New Roman" w:cs="Liberation Serif;Times New Roman"/>
          <w:b/>
          <w:bCs/>
          <w:i/>
          <w:sz w:val="28"/>
          <w:szCs w:val="28"/>
          <w:lang w:val="hu-HU"/>
        </w:rPr>
        <w:t xml:space="preserve">  </w:t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  <w:r>
        <w:br w:type="page"/>
      </w:r>
    </w:p>
    <w:p>
      <w:pPr>
        <w:pStyle w:val="Normal"/>
        <w:spacing w:lineRule="auto" w:line="360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center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Megoldás és pontozás </w:t>
      </w:r>
    </w:p>
    <w:p>
      <w:pPr>
        <w:pStyle w:val="Normal"/>
        <w:spacing w:lineRule="auto" w:line="360"/>
        <w:jc w:val="center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>A méréshez rendelkezésre álló berendezés az alábbi fényképen látható: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32391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1</w:t>
      </w:r>
      <w:r>
        <w:rPr>
          <w:i/>
          <w:iCs/>
        </w:rPr>
        <w:t>. ábra. A mérőberendezés fényképe.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/>
      </w:pPr>
      <w:r>
        <w:rPr>
          <w:i/>
          <w:iCs/>
        </w:rPr>
        <w:t>1. feladat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 </w:t>
      </w:r>
      <w:r>
        <w:rPr>
          <w:i/>
          <w:iCs/>
        </w:rPr>
        <w:t>r</w:t>
      </w:r>
      <w:r>
        <w:rPr>
          <w:i w:val="false"/>
          <w:iCs w:val="false"/>
        </w:rPr>
        <w:t xml:space="preserve"> sugarú tengelyre akasztott  </w:t>
      </w:r>
      <w:r>
        <w:rPr>
          <w:i/>
          <w:iCs/>
        </w:rPr>
        <w:t xml:space="preserve">m </w:t>
      </w:r>
      <w:r>
        <w:rPr>
          <w:i w:val="false"/>
          <w:iCs w:val="false"/>
        </w:rPr>
        <w:t xml:space="preserve">tömeg esetén </w:t>
      </w:r>
      <w:r>
        <w:rPr>
          <w:i w:val="false"/>
          <w:iCs w:val="false"/>
        </w:rPr>
        <w:t xml:space="preserve">a </w:t>
      </w:r>
      <w:r>
        <w:rPr>
          <w:i w:val="false"/>
          <w:iCs w:val="false"/>
        </w:rPr>
        <w:t>rendszer mozgásegyenlete a következőképpen adható meg: a bimetál kerék esetében a forgómozgás alapegyenletéből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Θ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K</m:t>
        </m:r>
      </m:oMath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a ráakasztott tömegre pedig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mg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K</m:t>
        </m:r>
      </m:oMath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ahol </w:t>
      </w:r>
      <w:r>
        <w:rPr>
          <w:rFonts w:eastAsia="Times New Roman" w:cs="Times New Roman"/>
          <w:i w:val="false"/>
          <w:iCs w:val="false"/>
        </w:rPr>
        <w:t>β</w:t>
      </w:r>
      <w:r>
        <w:rPr>
          <w:i w:val="false"/>
          <w:iCs w:val="false"/>
        </w:rPr>
        <w:t xml:space="preserve"> a henger szöggyorsulása, </w:t>
      </w:r>
      <w:r>
        <w:rPr>
          <w:rFonts w:eastAsia="Times New Roman" w:cs="Times New Roman"/>
          <w:i w:val="false"/>
          <w:iCs w:val="false"/>
        </w:rPr>
        <w:t>Ө</w:t>
      </w:r>
      <w:r>
        <w:rPr>
          <w:i w:val="false"/>
          <w:iCs w:val="false"/>
        </w:rPr>
        <w:t xml:space="preserve"> a kerék tehetetlenségi nyomatéka, </w:t>
      </w:r>
      <w:r>
        <w:rPr>
          <w:i/>
          <w:iCs/>
        </w:rPr>
        <w:t xml:space="preserve">K </w:t>
      </w:r>
      <w:r>
        <w:rPr>
          <w:i w:val="false"/>
          <w:iCs w:val="false"/>
        </w:rPr>
        <w:t xml:space="preserve">a kötélben fellépő erő, </w:t>
      </w:r>
      <w:r>
        <w:rPr>
          <w:i/>
          <w:iCs/>
        </w:rPr>
        <w:t xml:space="preserve">g </w:t>
      </w:r>
      <w:r>
        <w:rPr>
          <w:i w:val="false"/>
          <w:iCs w:val="false"/>
        </w:rPr>
        <w:t xml:space="preserve">pedig a nehézségi gyorsulás. A képletben már felhasználtuk, hogy a ráakasztott test gyorsulása </w:t>
      </w:r>
      <w:r>
        <w:rPr>
          <w:i/>
          <w:iCs/>
        </w:rPr>
        <w:t>a=r</w:t>
      </w:r>
      <w:r>
        <w:rPr>
          <w:rFonts w:eastAsia="Times New Roman" w:cs="Times New Roman"/>
          <w:i/>
          <w:iCs/>
        </w:rPr>
        <w:t xml:space="preserve">β. </w:t>
      </w:r>
      <w:r>
        <w:rPr>
          <w:rFonts w:eastAsia="Times New Roman" w:cs="Times New Roman"/>
          <w:i w:val="false"/>
          <w:iCs w:val="false"/>
        </w:rPr>
        <w:t xml:space="preserve">A két egyenletből </w:t>
      </w:r>
      <w:r>
        <w:rPr>
          <w:rFonts w:eastAsia="Times New Roman" w:cs="Times New Roman"/>
          <w:i/>
          <w:iCs/>
        </w:rPr>
        <w:t>K</w:t>
      </w:r>
      <w:r>
        <w:rPr>
          <w:rFonts w:eastAsia="Times New Roman" w:cs="Times New Roman"/>
          <w:i w:val="false"/>
          <w:iCs w:val="false"/>
        </w:rPr>
        <w:t>-t kiküszöbölve adódik, hogy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   </w:t>
      </w:r>
      <w:r>
        <w:rPr>
          <w:i w:val="false"/>
          <w:iCs w:val="false"/>
        </w:rPr>
      </w:r>
      <m:oMath xmlns:m="http://schemas.openxmlformats.org/officeDocument/2006/math"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mgr</m:t>
            </m:r>
          </m:num>
          <m:den>
            <m:r>
              <w:rPr>
                <w:rFonts w:ascii="Cambria Math" w:hAnsi="Cambria Math"/>
              </w:rPr>
              <m:t xml:space="preserve">Θ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m</m:t>
            </m:r>
            <m:sSup>
              <m:e>
                <m:r>
                  <w:rPr>
                    <w:rFonts w:ascii="Cambria Math" w:hAnsi="Cambria Math"/>
                  </w:rPr>
                  <m:t xml:space="preserve">r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den>
        </m:f>
      </m:oMath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Amint az a később kiszámolt konkrét adatok behelyettesítse után látható a kerék </w:t>
      </w:r>
      <w:r>
        <w:rPr>
          <w:rFonts w:eastAsia="Times New Roman" w:cs="Times New Roman"/>
          <w:i w:val="false"/>
          <w:iCs w:val="false"/>
        </w:rPr>
        <w:t xml:space="preserve">Θ </w:t>
      </w:r>
      <w:r>
        <w:rPr>
          <w:i w:val="false"/>
          <w:iCs w:val="false"/>
        </w:rPr>
        <w:t xml:space="preserve"> tehetetlenségi nyomatéka sokkal nagyobb mint </w:t>
      </w:r>
      <w:r>
        <w:rPr>
          <w:i w:val="false"/>
          <w:iCs w:val="false"/>
        </w:rPr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sSup>
          <m:e>
            <m:r>
              <w:rPr>
                <w:rFonts w:ascii="Cambria Math" w:hAnsi="Cambria Math"/>
              </w:rPr>
              <m:t xml:space="preserve">r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i w:val="false"/>
          <w:iCs w:val="false"/>
        </w:rPr>
        <w:t>, így jó közelítéssel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mgr</m:t>
            </m:r>
          </m:num>
          <m:den>
            <m:r>
              <w:rPr>
                <w:rFonts w:ascii="Cambria Math" w:hAnsi="Cambria Math"/>
              </w:rPr>
              <m:t xml:space="preserve">Θ</m:t>
            </m:r>
          </m:den>
        </m:f>
      </m:oMath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Látható, tehát, hogy a kerék állandó szöggyorsulással forog. Ezért a </w:t>
      </w:r>
      <w:r>
        <w:rPr>
          <w:i/>
          <w:iCs/>
        </w:rPr>
        <w:t xml:space="preserve">t </w:t>
      </w:r>
      <w:r>
        <w:rPr>
          <w:i w:val="false"/>
          <w:iCs w:val="false"/>
        </w:rPr>
        <w:t xml:space="preserve">idő alatti elfordulási szög   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φ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β</m:t>
        </m:r>
        <m:sSup>
          <m:e>
            <m:r>
              <w:rPr>
                <w:rFonts w:ascii="Cambria Math" w:hAnsi="Cambria Math"/>
              </w:rPr>
              <m:t xml:space="preserve">t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f>
          <m:num>
            <m:r>
              <w:rPr>
                <w:rFonts w:ascii="Cambria Math" w:hAnsi="Cambria Math"/>
              </w:rPr>
              <m:t xml:space="preserve">mgr</m:t>
            </m:r>
          </m:num>
          <m:den>
            <m:r>
              <w:rPr>
                <w:rFonts w:ascii="Cambria Math" w:hAnsi="Cambria Math"/>
              </w:rPr>
              <m:t xml:space="preserve">Θ</m:t>
            </m:r>
          </m:den>
        </m:f>
        <m:sSup>
          <m:e>
            <m:r>
              <w:rPr>
                <w:rFonts w:ascii="Cambria Math" w:hAnsi="Cambria Math"/>
              </w:rPr>
              <m:t xml:space="preserve">t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 xml:space="preserve">Tehát a </w:t>
      </w:r>
      <w:r>
        <w:rPr>
          <w:i w:val="false"/>
          <w:iCs w:val="false"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t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i w:val="false"/>
          <w:iCs w:val="false"/>
        </w:rPr>
        <w:t xml:space="preserve">- </w:t>
      </w:r>
      <w:r>
        <w:rPr>
          <w:i w:val="false"/>
          <w:iCs w:val="false"/>
        </w:rPr>
        <w:t xml:space="preserve">elfordulási szög </w:t>
      </w:r>
      <w:r>
        <w:rPr>
          <w:i w:val="false"/>
          <w:iCs w:val="false"/>
        </w:rPr>
        <w:t>reláció egy</w:t>
      </w:r>
      <w:r>
        <w:rPr>
          <w:i w:val="false"/>
          <w:iCs w:val="false"/>
        </w:rPr>
        <w:t xml:space="preserve"> egyenes kell legyen. Az egyenes meredekségéből pedig a kerék tehetetlenségi nyomatéka a ráakasztott tömeg ismeretében meghatározható.  6 g súly alkalmazása mellett kapott görbe az 1.-es ábrán látható.    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42105" cy="3108960"/>
            <wp:effectExtent l="0" t="0" r="0" b="0"/>
            <wp:wrapTopAndBottom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1</w:t>
      </w:r>
      <w:r>
        <w:rPr>
          <w:i/>
          <w:iCs/>
        </w:rPr>
        <w:t xml:space="preserve">.ábra. A mért elfordulási szög </w:t>
      </w:r>
      <w:r>
        <w:rPr>
          <w:i/>
          <w:iCs/>
        </w:rPr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t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i/>
          <w:iCs/>
        </w:rPr>
        <w:t>összefüggés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Az adatok behelyettesítése után 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Θ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1,88</m:t>
        </m:r>
        <m:sSup>
          <m:e>
            <m: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3</m:t>
            </m:r>
          </m:sup>
        </m:sSup>
        <m:r>
          <w:rPr>
            <w:rFonts w:ascii="Cambria Math" w:hAnsi="Cambria Math"/>
          </w:rPr>
          <m:t xml:space="preserve">kg</m:t>
        </m:r>
        <m:sSup>
          <m:e>
            <m:r>
              <w:rPr>
                <w:rFonts w:ascii="Cambria Math" w:hAnsi="Cambria Math"/>
              </w:rPr>
              <m:t xml:space="preserve">m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adódik.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Az elmélet helyes levezetése 3pont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A mérés helyes elvégzése 4 pont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A megfelelő ábra elkészítése 2 pont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A tehetetlenségi nyomaték kiszámítása 1 pont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  <w:t>2. feladat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Az eszköz úgy van megépítve, hogy a fűtőtest csak a kerék felső felét fűti. A fűtés következtében a kerék felső felén levő bimetál szalagok elgörbülnek. Ezért a kerék súlypontja  </w:t>
      </w:r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 xml:space="preserve">eltolódik. Ha a kerék rögzítését megszüntetjük a súlyponteltolódás következtében  a kerék forgásba jön. Az induló </w:t>
      </w:r>
      <w:r>
        <w:rPr>
          <w:rFonts w:eastAsia="Times New Roman" w:cs="Times New Roman"/>
          <w:i w:val="false"/>
          <w:iCs w:val="false"/>
        </w:rPr>
        <w:t>β</w:t>
      </w:r>
      <w:r>
        <w:rPr>
          <w:i w:val="false"/>
          <w:iCs w:val="false"/>
        </w:rPr>
        <w:t xml:space="preserve"> szöggyorsulásra felírhatjuk, hogy </w:t>
      </w:r>
    </w:p>
    <w:p>
      <w:pPr>
        <w:pStyle w:val="Normal"/>
        <w:spacing w:lineRule="auto" w:line="360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 </w:t>
      </w:r>
      <w:r>
        <w:rPr>
          <w:i w:val="false"/>
          <w:iCs w:val="false"/>
        </w:rPr>
      </w:r>
      <m:oMath xmlns:m="http://schemas.openxmlformats.org/officeDocument/2006/math">
        <m:r>
          <w:rPr>
            <w:rFonts w:ascii="Cambria Math" w:hAnsi="Cambria Math"/>
          </w:rPr>
          <m:t xml:space="preserve">Mg</m:t>
        </m:r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Θ</m:t>
        </m:r>
        <m:r>
          <w:rPr>
            <w:rFonts w:ascii="Cambria Math" w:hAnsi="Cambria Math"/>
          </w:rPr>
          <m:t xml:space="preserve">β</m:t>
        </m:r>
      </m:oMath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 xml:space="preserve">ahol </w:t>
      </w:r>
      <w:r>
        <w:rPr>
          <w:i/>
          <w:iCs/>
        </w:rPr>
        <w:t xml:space="preserve">M </w:t>
      </w:r>
      <w:r>
        <w:rPr>
          <w:i w:val="false"/>
          <w:iCs w:val="false"/>
        </w:rPr>
        <w:t xml:space="preserve">a kerék tömege </w:t>
      </w:r>
      <w:r>
        <w:rPr>
          <w:i/>
          <w:iCs/>
        </w:rPr>
        <w:t xml:space="preserve">s </w:t>
      </w:r>
      <w:r>
        <w:rPr>
          <w:i w:val="false"/>
          <w:iCs w:val="false"/>
        </w:rPr>
        <w:t xml:space="preserve">pedig a súlypont </w:t>
      </w:r>
      <w:r>
        <w:rPr>
          <w:i w:val="false"/>
          <w:iCs w:val="false"/>
        </w:rPr>
        <w:t xml:space="preserve">vízszintes </w:t>
      </w:r>
      <w:r>
        <w:rPr>
          <w:i w:val="false"/>
          <w:iCs w:val="false"/>
        </w:rPr>
        <w:t xml:space="preserve">eltolódása.  Kis szögelfordulás esetén </w:t>
      </w:r>
    </w:p>
    <w:p>
      <w:pPr>
        <w:pStyle w:val="Normal"/>
        <w:spacing w:lineRule="auto" w:line="360"/>
        <w:jc w:val="center"/>
        <w:rPr/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Mg</m:t>
        </m:r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Θ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Θ</m:t>
        </m:r>
        <m:f>
          <m:num>
            <m:r>
              <w:rPr>
                <w:rFonts w:ascii="Cambria Math" w:hAnsi="Cambria Math"/>
              </w:rPr>
              <m:t xml:space="preserve">φ</m:t>
            </m:r>
          </m:num>
          <m:den>
            <m:sSup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den>
        </m:f>
      </m:oMath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>ahol</w:t>
      </w:r>
      <w:r>
        <w:rPr>
          <w:i/>
          <w:iCs/>
        </w:rPr>
        <w:t xml:space="preserve"> </w:t>
      </w:r>
      <w:r>
        <w:rPr>
          <w:i/>
          <w:iCs/>
        </w:rPr>
        <w:t xml:space="preserve">t </w:t>
      </w:r>
      <w:r>
        <w:rPr>
          <w:i w:val="false"/>
          <w:iCs w:val="false"/>
        </w:rPr>
        <w:t xml:space="preserve">a </w:t>
      </w:r>
      <w:r>
        <w:rPr>
          <w:rFonts w:eastAsia="Times New Roman" w:cs="Times New Roman" w:ascii="Times New Roman" w:hAnsi="Times New Roman"/>
          <w:i w:val="false"/>
          <w:iCs w:val="false"/>
        </w:rPr>
        <w:t>φ</w:t>
      </w:r>
      <w:r>
        <w:rPr>
          <w:rFonts w:eastAsia="Times New Roman" w:cs="Times New Roman"/>
          <w:i w:val="false"/>
          <w:iCs w:val="false"/>
        </w:rPr>
        <w:t xml:space="preserve"> szögű </w:t>
      </w:r>
      <w:r>
        <w:rPr>
          <w:i w:val="false"/>
          <w:iCs w:val="false"/>
        </w:rPr>
        <w:t xml:space="preserve"> elfordulás</w:t>
      </w:r>
      <w:r>
        <w:rPr>
          <w:i w:val="false"/>
          <w:iCs w:val="false"/>
        </w:rPr>
        <w:t>hoz tartozó idő</w:t>
      </w:r>
      <w:r>
        <w:rPr>
          <w:i w:val="false"/>
          <w:iCs w:val="false"/>
        </w:rPr>
        <w:t xml:space="preserve">. </w:t>
      </w:r>
      <w:r>
        <w:rPr>
          <w:i w:val="false"/>
          <w:iCs w:val="false"/>
        </w:rPr>
        <w:t>A</w:t>
      </w:r>
      <w:r>
        <w:rPr>
          <w:i w:val="false"/>
          <w:iCs w:val="false"/>
        </w:rPr>
        <w:t>z elfordulást legegyszerűbb két bimetál lapát elfordulásának venni (</w:t>
      </w:r>
      <w:r>
        <w:rPr>
          <w:i w:val="false"/>
          <w:iCs w:val="false"/>
        </w:rPr>
        <w:t>az ebből adódó problémát a 3. feladat során elemezzük</w:t>
      </w:r>
      <w:r>
        <w:rPr>
          <w:i w:val="false"/>
          <w:iCs w:val="false"/>
        </w:rPr>
        <w:t xml:space="preserve">). Mivel a kerékben 12 bimetál lapát van  </w:t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Mg</m:t>
        </m:r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Θ</m:t>
        </m:r>
        <m:f>
          <m:num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3</m:t>
            </m:r>
            <m:sSup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den>
        </m:f>
      </m:oMath>
      <w:r>
        <w:rPr>
          <w:i w:val="false"/>
          <w:iCs w:val="false"/>
        </w:rPr>
        <w:t xml:space="preserve"> </w:t>
      </w:r>
    </w:p>
    <w:p>
      <w:pPr>
        <w:pStyle w:val="Normal"/>
        <w:spacing w:lineRule="auto" w:line="360"/>
        <w:jc w:val="left"/>
        <w:rPr/>
      </w:pPr>
      <w:r>
        <w:rPr>
          <w:i w:val="false"/>
          <w:iCs w:val="false"/>
        </w:rPr>
        <w:t xml:space="preserve">A fűtőteljesítmény függvényében mért elfordulási idők a 2. ábrán láthatók. </w:t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57600" cy="274320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2. ábra. 30</w:t>
      </w:r>
      <w:r>
        <w:rPr>
          <w:b w:val="false"/>
          <w:bCs w:val="false"/>
          <w:i/>
          <w:iCs/>
          <w:vertAlign w:val="superscript"/>
        </w:rPr>
        <w:t>0</w:t>
      </w:r>
      <w:r>
        <w:rPr>
          <w:b w:val="false"/>
          <w:bCs w:val="false"/>
          <w:i/>
          <w:iCs/>
          <w:position w:val="0"/>
          <w:sz w:val="24"/>
          <w:sz w:val="24"/>
          <w:vertAlign w:val="baseline"/>
        </w:rPr>
        <w:t>-os (1 lapátnyi)</w:t>
      </w:r>
      <w:r>
        <w:rPr>
          <w:b w:val="false"/>
          <w:bCs w:val="false"/>
          <w:i/>
          <w:iCs/>
        </w:rPr>
        <w:t xml:space="preserve"> elfordulási szöghöz tartozó idők a fűtőteljesítmény függvényében.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A fenti képlet alapján számított súlypont eltolódás </w:t>
      </w:r>
      <w:r>
        <w:rPr>
          <w:b w:val="false"/>
          <w:bCs w:val="false"/>
          <w:i w:val="false"/>
          <w:iCs w:val="false"/>
        </w:rPr>
        <w:t xml:space="preserve">a fűtőteljesítmény függvényében </w:t>
      </w:r>
      <w:r>
        <w:rPr>
          <w:b w:val="false"/>
          <w:bCs w:val="false"/>
          <w:i w:val="false"/>
          <w:iCs w:val="false"/>
        </w:rPr>
        <w:t>a 3. ábrán látható (+ jelek).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3465" cy="274320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bookmarkStart w:id="0" w:name="__DdeLink__145_1232906712"/>
      <w:bookmarkEnd w:id="0"/>
      <w:r>
        <w:rPr>
          <w:b w:val="false"/>
          <w:bCs w:val="false"/>
          <w:i/>
          <w:iCs/>
        </w:rPr>
        <w:t>3. ábra. A Dinamikus és statikus méréssel kapott súlyponteltolódási adatok a fűtőteljesítmény függvényében.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 helyes elmélet kidolgozása 4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 mérések helyes elvégzése 4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 megfelelő ábrák elkészítése 2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3. feladat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Statikus esetben a hengerre akasztott súly forgatónyomatéka meg kell egyezzen a kerék súlyponteltolódásból  adódó forgatónyomatékkal azaz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Mg</m:t>
        </m:r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g</m:t>
        </m:r>
        <m:r>
          <w:rPr>
            <w:rFonts w:ascii="Cambria Math" w:hAnsi="Cambria Math"/>
          </w:rPr>
          <m:t xml:space="preserve">r</m:t>
        </m:r>
      </m:oMath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ahol </w:t>
      </w:r>
      <w:r>
        <w:rPr>
          <w:b w:val="false"/>
          <w:bCs w:val="false"/>
          <w:i/>
          <w:iCs/>
        </w:rPr>
        <w:t xml:space="preserve">m </w:t>
      </w:r>
      <w:r>
        <w:rPr>
          <w:b w:val="false"/>
          <w:bCs w:val="false"/>
          <w:i w:val="false"/>
          <w:iCs w:val="false"/>
        </w:rPr>
        <w:t xml:space="preserve">a hengerre csavar fonálra akasztott tömeg.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Az egyensúly eléréséhez szükséges tömeg a fűtőteljesítmény függvényében a 4. ábrán látható.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3465" cy="274320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4. ábra. Az egyensúly eléréséhez szükséges tömegek a fűtőteljesítmény függvényében.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A fenti képlet alapján kiszámított súlyponteltolódási adatok a 3. ábrán láthatók (X jelek).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Megállapítható, hogy a „dinamikus” méréssel kapott súlyponteltolódási adatok kb. kétszer akkorák mint a „statikus” mérés eredményei. Ennek oka abban keresendő, hogy a melegítés hatására a súlypont függőleges irányban is jelentősen eltolódik. Ez ugyan az induló szöggyorsulást nem befolyásolja, de a mérésnél használt 30</w:t>
      </w:r>
      <w:r>
        <w:rPr>
          <w:b w:val="false"/>
          <w:bCs w:val="false"/>
          <w:i w:val="false"/>
          <w:iCs w:val="false"/>
          <w:vertAlign w:val="superscript"/>
        </w:rPr>
        <w:t>0</w:t>
      </w:r>
      <w:r>
        <w:rPr>
          <w:b w:val="false"/>
          <w:bCs w:val="false"/>
          <w:i w:val="false"/>
          <w:iCs w:val="false"/>
        </w:rPr>
        <w:t xml:space="preserve"> -os elfordulásnál már jelentős hibát okozhat, hiszen az elfordulás közben a súlypont vízszintes irányú komponense jelentősen megnőhet. Ezzel a szöggyorsulás folyamatosan nő az elfordulással. Természetesen a jelenség a statikus mérésnél nem jelenik meg.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/>
          <w:iCs/>
        </w:rPr>
        <w:t>Az elmélet helyes  kidolgozása 3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 mérés helyes elvégzése 4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 megfelelő ábra elkészítése 2 pont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  <w:t>Az eltérés megmagyarázása 1 pont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i/>
          <w:iCs/>
        </w:rPr>
        <w:t>4. feladat</w:t>
      </w:r>
    </w:p>
    <w:p>
      <w:pPr>
        <w:pStyle w:val="Normal"/>
        <w:spacing w:lineRule="auto" w:line="360"/>
        <w:jc w:val="left"/>
        <w:rPr/>
      </w:pPr>
      <w:r>
        <w:rPr/>
        <w:t xml:space="preserve">A véges sebességű hőfelvétel és hőleadás következtében adott fűtőteljesítmény mellett rövid időn belül egy állandó forgási sebesség áll be. A teljesítmény függvényében egy fordulathoz tartozó idő mérésével meghatározott szögsebesség adatok a 4. ábrán láthatók. </w:t>
      </w:r>
    </w:p>
    <w:p>
      <w:pPr>
        <w:pStyle w:val="Normal"/>
        <w:spacing w:lineRule="auto" w:line="360"/>
        <w:jc w:val="left"/>
        <w:rPr/>
      </w:pPr>
      <w:r>
        <w:rPr/>
        <w:t xml:space="preserve">   </w:t>
      </w:r>
    </w:p>
    <w:p>
      <w:pPr>
        <w:pStyle w:val="Normal"/>
        <w:spacing w:lineRule="auto" w:line="360"/>
        <w:jc w:val="left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31920" cy="297180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  <w:t xml:space="preserve"> </w:t>
      </w: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  <w:t xml:space="preserve">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i w:val="false"/>
          <w:i w:val="false"/>
          <w:i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center"/>
        <w:rPr>
          <w:i/>
          <w:i/>
          <w:iCs/>
        </w:rPr>
      </w:pPr>
      <w:r>
        <w:rPr>
          <w:b w:val="false"/>
          <w:bCs w:val="false"/>
          <w:i/>
          <w:iCs/>
          <w:position w:val="0"/>
          <w:sz w:val="24"/>
          <w:sz w:val="24"/>
          <w:vertAlign w:val="baseline"/>
        </w:rPr>
        <w:t>5. ábra. Az állandósult szögsebesség a fűtési teljesítmény függvényében.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position w:val="0"/>
          <w:sz w:val="24"/>
          <w:sz w:val="24"/>
          <w:vertAlign w:val="baseline"/>
        </w:rPr>
        <w:t xml:space="preserve">Látható, hogy a teljesítmény növelésével a szögsebesség telítődést mutat. Ez azzal magyarázható, hogy a hőmérséklet emelkedésével a kerék alsó része nehezebben tud lehűlni. 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position w:val="0"/>
          <w:sz w:val="24"/>
          <w:sz w:val="24"/>
          <w:vertAlign w:val="baseline"/>
        </w:rPr>
      </w:pPr>
      <w:r>
        <w:rPr>
          <w:b w:val="false"/>
          <w:bCs w:val="false"/>
          <w:position w:val="0"/>
          <w:sz w:val="24"/>
          <w:sz w:val="24"/>
          <w:vertAlign w:val="baseline"/>
        </w:rPr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b w:val="false"/>
          <w:bCs w:val="false"/>
          <w:i/>
          <w:iCs/>
          <w:position w:val="0"/>
          <w:sz w:val="24"/>
          <w:sz w:val="24"/>
          <w:vertAlign w:val="baseline"/>
        </w:rPr>
        <w:t>A mérés helyes elvégzése 8 pont</w:t>
      </w:r>
    </w:p>
    <w:p>
      <w:pPr>
        <w:pStyle w:val="Normal"/>
        <w:spacing w:lineRule="auto" w:line="360"/>
        <w:jc w:val="left"/>
        <w:rPr>
          <w:i/>
          <w:i/>
          <w:iCs/>
        </w:rPr>
      </w:pPr>
      <w:r>
        <w:rPr>
          <w:b w:val="false"/>
          <w:bCs w:val="false"/>
          <w:i/>
          <w:iCs/>
          <w:position w:val="0"/>
          <w:sz w:val="24"/>
          <w:sz w:val="24"/>
          <w:vertAlign w:val="baseline"/>
        </w:rPr>
        <w:t>A helyes ábra elkészítése 2 pont</w:t>
      </w:r>
    </w:p>
    <w:p>
      <w:pPr>
        <w:pStyle w:val="Normal"/>
        <w:spacing w:lineRule="auto" w:line="360"/>
        <w:jc w:val="left"/>
        <w:rPr/>
      </w:pPr>
      <w:r>
        <w:rPr/>
      </w:r>
    </w:p>
    <w:sectPr>
      <w:headerReference w:type="default" r:id="rId9"/>
      <w:headerReference w:type="first" r:id="rId10"/>
      <w:footerReference w:type="default" r:id="rId11"/>
      <w:footerReference w:type="first" r:id="rId12"/>
      <w:type w:val="nextPage"/>
      <w:pgSz w:w="11906" w:h="16838"/>
      <w:pgMar w:left="1418" w:right="1418" w:header="709" w:top="766" w:footer="709" w:bottom="766" w:gutter="0"/>
      <w:pgNumType w:start="1"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Garamond">
    <w:charset w:val="01"/>
    <w:family w:val="roman"/>
    <w:pitch w:val="variable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pBdr>
        <w:top w:val="single" w:sz="4" w:space="1" w:color="000001"/>
      </w:pBdr>
      <w:rPr/>
    </w:pPr>
    <w:r>
      <w:rPr>
        <w:lang w:val="hu-HU"/>
      </w:rPr>
      <w:t>OKTV 2016/2017</w:t>
      <w:tab/>
    </w:r>
    <w:r>
      <w:rPr>
        <w:lang w:val="hu-HU"/>
      </w:rPr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  <w:r>
      <w:rPr>
        <w:lang w:val="hu-HU"/>
      </w:rPr>
      <w:tab/>
      <w:t>Döntő forduló</w:t>
    </w:r>
  </w:p>
  <w:p>
    <w:pPr>
      <w:pStyle w:val="Footer"/>
      <w:rPr>
        <w:lang w:val="hu-HU"/>
      </w:rPr>
    </w:pPr>
    <w:r>
      <w:rPr>
        <w:lang w:val="hu-HU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pBdr>
        <w:bottom w:val="single" w:sz="4" w:space="1" w:color="000001"/>
      </w:pBdr>
      <w:tabs>
        <w:tab w:val="center" w:pos="4536" w:leader="none"/>
        <w:tab w:val="right" w:pos="9072" w:leader="none"/>
      </w:tabs>
      <w:rPr/>
    </w:pPr>
    <w:r>
      <w:rPr>
        <w:lang w:val="hu-HU"/>
      </w:rPr>
      <w:t>Fizika I. kategória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0"/>
        <w:szCs w:val="24"/>
        <w:lang w:val="hu-H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hu-HU" w:eastAsia="zh-CN" w:bidi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b/>
      <w:i w:val="false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cs="Times New Roman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b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b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/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>
      <w:rFonts w:cs="Times New Roman"/>
    </w:rPr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>
      <w:rFonts w:ascii="Symbol" w:hAnsi="Symbol" w:cs="Symbol"/>
      <w:sz w:val="20"/>
    </w:rPr>
  </w:style>
  <w:style w:type="character" w:styleId="WW8Num38z1">
    <w:name w:val="WW8Num38z1"/>
    <w:qFormat/>
    <w:rPr>
      <w:rFonts w:ascii="Courier New" w:hAnsi="Courier New" w:cs="Courier New"/>
      <w:sz w:val="20"/>
    </w:rPr>
  </w:style>
  <w:style w:type="character" w:styleId="WW8Num38z2">
    <w:name w:val="WW8Num38z2"/>
    <w:qFormat/>
    <w:rPr>
      <w:rFonts w:ascii="Wingdings" w:hAnsi="Wingdings" w:cs="Wingdings"/>
      <w:sz w:val="20"/>
    </w:rPr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Bekezdsalapbettpusa">
    <w:name w:val="Bekezdés alapbetűtípusa"/>
    <w:qFormat/>
    <w:rPr/>
  </w:style>
  <w:style w:type="character" w:styleId="InternetLink">
    <w:name w:val="Internet Link"/>
    <w:rPr>
      <w:color w:val="0000FF"/>
      <w:u w:val="single"/>
    </w:rPr>
  </w:style>
  <w:style w:type="character" w:styleId="SzleshasbChar">
    <w:name w:val="!Széles hasáb Char"/>
    <w:qFormat/>
    <w:rPr>
      <w:sz w:val="21"/>
      <w:szCs w:val="21"/>
      <w:lang w:val="hu-HU" w:bidi="ar-SA"/>
    </w:rPr>
  </w:style>
  <w:style w:type="character" w:styleId="Applestylespan">
    <w:name w:val="apple-style-span"/>
    <w:basedOn w:val="Bekezdsalapbettpusa"/>
    <w:qFormat/>
    <w:rPr/>
  </w:style>
  <w:style w:type="character" w:styleId="Appletabspan">
    <w:name w:val="apple-tab-span"/>
    <w:basedOn w:val="Bekezdsalapbettpusa"/>
    <w:qFormat/>
    <w:rPr/>
  </w:style>
  <w:style w:type="character" w:styleId="PageNumber">
    <w:name w:val="Page Number"/>
    <w:basedOn w:val="Bekezdsalapbettpusa"/>
    <w:rPr/>
  </w:style>
  <w:style w:type="character" w:styleId="LfejChar">
    <w:name w:val="Élőfej Char"/>
    <w:qFormat/>
    <w:rPr>
      <w:sz w:val="24"/>
      <w:szCs w:val="24"/>
    </w:rPr>
  </w:style>
  <w:style w:type="character" w:styleId="LlbChar">
    <w:name w:val="Élőláb Char"/>
    <w:qFormat/>
    <w:rPr>
      <w:sz w:val="24"/>
      <w:szCs w:val="24"/>
    </w:rPr>
  </w:style>
  <w:style w:type="character" w:styleId="BuborkszvegChar">
    <w:name w:val="Buborékszöveg Char"/>
    <w:qFormat/>
    <w:rPr>
      <w:rFonts w:ascii="Tahoma" w:hAnsi="Tahoma" w:cs="Tahoma"/>
      <w:sz w:val="16"/>
      <w:szCs w:val="16"/>
    </w:rPr>
  </w:style>
  <w:style w:type="character" w:styleId="Szvegtrzs2Char">
    <w:name w:val="Szövegtörzs 2 Char"/>
    <w:qFormat/>
    <w:rPr>
      <w:sz w:val="24"/>
      <w:szCs w:val="24"/>
    </w:rPr>
  </w:style>
  <w:style w:type="character" w:styleId="Dokulink">
    <w:name w:val="dokulink"/>
    <w:qFormat/>
    <w:rPr/>
  </w:style>
  <w:style w:type="character" w:styleId="StrongEmphasis">
    <w:name w:val="Strong Emphasis"/>
    <w:qFormat/>
    <w:rPr>
      <w:rFonts w:cs="Times New Roman"/>
      <w:b/>
      <w:bCs/>
    </w:rPr>
  </w:style>
  <w:style w:type="character" w:styleId="CmChar">
    <w:name w:val="Cím Char"/>
    <w:qFormat/>
    <w:rPr>
      <w:b/>
      <w:sz w:val="72"/>
    </w:rPr>
  </w:style>
  <w:style w:type="paragraph" w:styleId="Heading">
    <w:name w:val="Heading"/>
    <w:basedOn w:val="Normal"/>
    <w:next w:val="TextBody"/>
    <w:qFormat/>
    <w:pPr>
      <w:jc w:val="center"/>
    </w:pPr>
    <w:rPr>
      <w:b/>
      <w:sz w:val="72"/>
      <w:szCs w:val="20"/>
      <w:lang w:val="hu-HU"/>
    </w:rPr>
  </w:style>
  <w:style w:type="paragraph" w:styleId="TextBody">
    <w:name w:val="Body Text"/>
    <w:basedOn w:val="Normal"/>
    <w:pPr>
      <w:jc w:val="both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Szleshasb">
    <w:name w:val="!Széles hasáb"/>
    <w:basedOn w:val="Normal"/>
    <w:qFormat/>
    <w:pPr>
      <w:jc w:val="both"/>
    </w:pPr>
    <w:rPr>
      <w:sz w:val="21"/>
      <w:szCs w:val="21"/>
    </w:rPr>
  </w:style>
  <w:style w:type="paragraph" w:styleId="NormlWeb">
    <w:name w:val="Normál (Web)"/>
    <w:basedOn w:val="Normal"/>
    <w:qFormat/>
    <w:pPr>
      <w:spacing w:before="280" w:after="28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</w:pPr>
    <w:rPr>
      <w:lang w:val="hu-HU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</w:pPr>
    <w:rPr>
      <w:lang w:val="hu-HU"/>
    </w:rPr>
  </w:style>
  <w:style w:type="paragraph" w:styleId="Buborkszveg">
    <w:name w:val="Buborékszöveg"/>
    <w:basedOn w:val="Normal"/>
    <w:qFormat/>
    <w:pPr/>
    <w:rPr>
      <w:rFonts w:ascii="Tahoma" w:hAnsi="Tahoma" w:cs="Tahoma"/>
      <w:sz w:val="16"/>
      <w:szCs w:val="16"/>
      <w:lang w:val="hu-HU"/>
    </w:rPr>
  </w:style>
  <w:style w:type="paragraph" w:styleId="Szvegtrzs2">
    <w:name w:val="Szövegtörzs 2"/>
    <w:basedOn w:val="Normal"/>
    <w:qFormat/>
    <w:pPr>
      <w:spacing w:lineRule="auto" w:line="480" w:before="0" w:after="120"/>
    </w:pPr>
    <w:rPr>
      <w:lang w:val="hu-HU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Kpalrs">
    <w:name w:val="Képaláírás"/>
    <w:basedOn w:val="Normal"/>
    <w:next w:val="Normal"/>
    <w:qFormat/>
    <w:pPr/>
    <w:rPr>
      <w:b/>
      <w:bCs/>
      <w:sz w:val="20"/>
      <w:szCs w:val="20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Application>LibreOffice/5.1.6.2$Linux_X86_64 LibreOffice_project/10m0$Build-2</Application>
  <Pages>8</Pages>
  <Words>1011</Words>
  <Characters>6439</Characters>
  <CharactersWithSpaces>7490</CharactersWithSpaces>
  <Paragraphs>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2015-03-15T19:29:00Z</dcterms:created>
  <dc:creator>eszasz</dc:creator>
  <dc:description/>
  <dc:language>hu-HU</dc:language>
  <cp:lastModifiedBy/>
  <cp:lastPrinted>2017-04-06T08:07:58Z</cp:lastPrinted>
  <dcterms:modified xsi:type="dcterms:W3CDTF">2017-04-06T08:53:33Z</dcterms:modified>
  <cp:revision>74</cp:revision>
  <dc:subject/>
  <dc:title>KÖZÖS FELADATOK</dc:title>
</cp:coreProperties>
</file>